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Risk Management in Finance</w:t>
      </w:r>
    </w:p>
    <w:p>
      <w:pPr>
        <w:pStyle w:val="Heading1"/>
      </w:pPr>
      <w:r>
        <w:t>Introduction to Financial Risk Management</w:t>
      </w:r>
    </w:p>
    <w:p>
      <w:pPr>
        <w:numPr>
          <w:ilvl w:val="0"/>
          <w:numId w:val="900"/>
        </w:numPr>
        <w:spacing w:before="0" w:after="0"/>
      </w:pPr>
      <w:r>
        <w:t>Defining Financial Risk</w:t>
      </w:r>
    </w:p>
    <w:p>
      <w:pPr>
        <w:numPr>
          <w:ilvl w:val="1"/>
          <w:numId w:val="900"/>
        </w:numPr>
        <w:spacing w:before="0" w:after="0"/>
      </w:pPr>
      <w:r>
        <w:t>Financial Risk vs. Business Risk</w:t>
      </w:r>
    </w:p>
    <w:p>
      <w:pPr>
        <w:numPr>
          <w:ilvl w:val="1"/>
          <w:numId w:val="900"/>
        </w:numPr>
        <w:spacing w:before="0" w:after="0"/>
      </w:pPr>
      <w:r>
        <w:t>Types of Financial Risk</w:t>
      </w:r>
    </w:p>
    <w:p>
      <w:pPr>
        <w:numPr>
          <w:ilvl w:val="1"/>
          <w:numId w:val="900"/>
        </w:numPr>
        <w:spacing w:before="0" w:after="0"/>
      </w:pPr>
      <w:r>
        <w:t>Examples of Financial Risk in Practice</w:t>
      </w:r>
    </w:p>
    <w:p>
      <w:pPr>
        <w:numPr>
          <w:ilvl w:val="1"/>
          <w:numId w:val="900"/>
        </w:numPr>
        <w:spacing w:before="0" w:after="0"/>
      </w:pPr>
      <w:r>
        <w:t>Risk vs. Uncertainty</w:t>
      </w:r>
    </w:p>
    <w:p>
      <w:pPr>
        <w:numPr>
          <w:ilvl w:val="1"/>
          <w:numId w:val="900"/>
        </w:numPr>
        <w:spacing w:before="0" w:after="0"/>
      </w:pPr>
      <w:r>
        <w:t>Systematic vs. Unsystematic Risk</w:t>
      </w:r>
    </w:p>
    <w:p>
      <w:pPr>
        <w:numPr>
          <w:ilvl w:val="0"/>
          <w:numId w:val="900"/>
        </w:numPr>
        <w:spacing w:before="0" w:after="0"/>
      </w:pPr>
      <w:r>
        <w:t>The Role and Importance of Risk Management</w:t>
      </w:r>
    </w:p>
    <w:p>
      <w:pPr>
        <w:numPr>
          <w:ilvl w:val="1"/>
          <w:numId w:val="900"/>
        </w:numPr>
        <w:spacing w:before="0" w:after="0"/>
      </w:pPr>
      <w:r>
        <w:t>Objectives of Risk Management</w:t>
      </w:r>
    </w:p>
    <w:p>
      <w:pPr>
        <w:numPr>
          <w:ilvl w:val="1"/>
          <w:numId w:val="900"/>
        </w:numPr>
        <w:spacing w:before="0" w:after="0"/>
      </w:pPr>
      <w:r>
        <w:t>Benefits of Effective Risk Management</w:t>
      </w:r>
    </w:p>
    <w:p>
      <w:pPr>
        <w:numPr>
          <w:ilvl w:val="1"/>
          <w:numId w:val="900"/>
        </w:numPr>
        <w:spacing w:before="0" w:after="0"/>
      </w:pPr>
      <w:r>
        <w:t>Consequences of Poor Risk Management</w:t>
      </w:r>
    </w:p>
    <w:p>
      <w:pPr>
        <w:numPr>
          <w:ilvl w:val="1"/>
          <w:numId w:val="900"/>
        </w:numPr>
        <w:spacing w:before="0" w:after="0"/>
      </w:pPr>
      <w:r>
        <w:t>Stakeholders in Risk Management</w:t>
      </w:r>
    </w:p>
    <w:p>
      <w:pPr>
        <w:numPr>
          <w:ilvl w:val="1"/>
          <w:numId w:val="900"/>
        </w:numPr>
        <w:spacing w:before="0" w:after="0"/>
      </w:pPr>
      <w:r>
        <w:t>Risk Management as a Competitive Advantage</w:t>
      </w:r>
    </w:p>
    <w:p>
      <w:pPr>
        <w:numPr>
          <w:ilvl w:val="0"/>
          <w:numId w:val="900"/>
        </w:numPr>
        <w:spacing w:before="0" w:after="0"/>
      </w:pPr>
      <w:r>
        <w:t>The Risk Management Process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Methods of Identifying Risks</w:t>
      </w:r>
    </w:p>
    <w:p>
      <w:pPr>
        <w:numPr>
          <w:ilvl w:val="2"/>
          <w:numId w:val="900"/>
        </w:numPr>
        <w:spacing w:before="0" w:after="0"/>
      </w:pPr>
      <w:r>
        <w:t>Tools for Risk Identification</w:t>
      </w:r>
    </w:p>
    <w:p>
      <w:pPr>
        <w:numPr>
          <w:ilvl w:val="2"/>
          <w:numId w:val="900"/>
        </w:numPr>
        <w:spacing w:before="0" w:after="0"/>
      </w:pPr>
      <w:r>
        <w:t>Sources of Risk Information</w:t>
      </w:r>
    </w:p>
    <w:p>
      <w:pPr>
        <w:numPr>
          <w:ilvl w:val="2"/>
          <w:numId w:val="900"/>
        </w:numPr>
        <w:spacing w:before="0" w:after="0"/>
      </w:pPr>
      <w:r>
        <w:t>Risk Registers and Databases</w:t>
      </w:r>
    </w:p>
    <w:p>
      <w:pPr>
        <w:numPr>
          <w:ilvl w:val="1"/>
          <w:numId w:val="900"/>
        </w:numPr>
        <w:spacing w:before="0" w:after="0"/>
      </w:pPr>
      <w:r>
        <w:t>Risk Assessment and Measurement</w:t>
      </w:r>
    </w:p>
    <w:p>
      <w:pPr>
        <w:numPr>
          <w:ilvl w:val="2"/>
          <w:numId w:val="900"/>
        </w:numPr>
        <w:spacing w:before="0" w:after="0"/>
      </w:pPr>
      <w:r>
        <w:t>Qualitative Assessment</w:t>
      </w:r>
    </w:p>
    <w:p>
      <w:pPr>
        <w:numPr>
          <w:ilvl w:val="2"/>
          <w:numId w:val="900"/>
        </w:numPr>
        <w:spacing w:before="0" w:after="0"/>
      </w:pPr>
      <w:r>
        <w:t>Quantitative Assessment</w:t>
      </w:r>
    </w:p>
    <w:p>
      <w:pPr>
        <w:numPr>
          <w:ilvl w:val="2"/>
          <w:numId w:val="900"/>
        </w:numPr>
        <w:spacing w:before="0" w:after="0"/>
      </w:pPr>
      <w:r>
        <w:t>Risk Mapping and Heat Maps</w:t>
      </w:r>
    </w:p>
    <w:p>
      <w:pPr>
        <w:numPr>
          <w:ilvl w:val="2"/>
          <w:numId w:val="900"/>
        </w:numPr>
        <w:spacing w:before="0" w:after="0"/>
      </w:pPr>
      <w:r>
        <w:t>Probability and Impact Analysis</w:t>
      </w:r>
    </w:p>
    <w:p>
      <w:pPr>
        <w:numPr>
          <w:ilvl w:val="2"/>
          <w:numId w:val="900"/>
        </w:numPr>
        <w:spacing w:before="0" w:after="0"/>
      </w:pPr>
      <w:r>
        <w:t>Risk Scoring Methodologies</w:t>
      </w:r>
    </w:p>
    <w:p>
      <w:pPr>
        <w:numPr>
          <w:ilvl w:val="1"/>
          <w:numId w:val="900"/>
        </w:numPr>
        <w:spacing w:before="0" w:after="0"/>
      </w:pPr>
      <w:r>
        <w:t>Risk Mitigation and Control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1"/>
          <w:numId w:val="900"/>
        </w:numPr>
        <w:spacing w:before="0" w:after="0"/>
      </w:pPr>
      <w:r>
        <w:t>Risk Monitoring and Reporting</w:t>
      </w:r>
    </w:p>
    <w:p>
      <w:pPr>
        <w:numPr>
          <w:ilvl w:val="2"/>
          <w:numId w:val="900"/>
        </w:numPr>
        <w:spacing w:before="0" w:after="0"/>
      </w:pPr>
      <w:r>
        <w:t>Ongoing Risk Monitoring</w:t>
      </w:r>
    </w:p>
    <w:p>
      <w:pPr>
        <w:numPr>
          <w:ilvl w:val="2"/>
          <w:numId w:val="900"/>
        </w:numPr>
        <w:spacing w:before="0" w:after="0"/>
      </w:pPr>
      <w:r>
        <w:t>Risk Reporting Structures</w:t>
      </w:r>
    </w:p>
    <w:p>
      <w:pPr>
        <w:numPr>
          <w:ilvl w:val="2"/>
          <w:numId w:val="900"/>
        </w:numPr>
        <w:spacing w:before="0" w:after="0"/>
      </w:pPr>
      <w:r>
        <w:t>Key Risk Indicators (KRIs)</w:t>
      </w:r>
    </w:p>
    <w:p>
      <w:pPr>
        <w:numPr>
          <w:ilvl w:val="2"/>
          <w:numId w:val="900"/>
        </w:numPr>
        <w:spacing w:before="0" w:after="0"/>
      </w:pPr>
      <w:r>
        <w:t>Feedback and Review Mechanisms</w:t>
      </w:r>
    </w:p>
    <w:p>
      <w:pPr>
        <w:numPr>
          <w:ilvl w:val="2"/>
          <w:numId w:val="900"/>
        </w:numPr>
        <w:spacing w:before="0" w:after="0"/>
      </w:pPr>
      <w:r>
        <w:t>Risk Dashboards and Metrics</w:t>
      </w:r>
    </w:p>
    <w:p>
      <w:pPr>
        <w:numPr>
          <w:ilvl w:val="0"/>
          <w:numId w:val="900"/>
        </w:numPr>
        <w:spacing w:before="0" w:after="0"/>
      </w:pPr>
      <w:r>
        <w:t>Risk Appetite and Risk Tolerance</w:t>
      </w:r>
    </w:p>
    <w:p>
      <w:pPr>
        <w:numPr>
          <w:ilvl w:val="1"/>
          <w:numId w:val="900"/>
        </w:numPr>
        <w:spacing w:before="0" w:after="0"/>
      </w:pPr>
      <w:r>
        <w:t>Defining Risk Appetite</w:t>
      </w:r>
    </w:p>
    <w:p>
      <w:pPr>
        <w:numPr>
          <w:ilvl w:val="1"/>
          <w:numId w:val="900"/>
        </w:numPr>
        <w:spacing w:before="0" w:after="0"/>
      </w:pPr>
      <w:r>
        <w:t>Defining Risk Tolerance</w:t>
      </w:r>
    </w:p>
    <w:p>
      <w:pPr>
        <w:numPr>
          <w:ilvl w:val="1"/>
          <w:numId w:val="900"/>
        </w:numPr>
        <w:spacing w:before="0" w:after="0"/>
      </w:pPr>
      <w:r>
        <w:t>Setting Risk Limits</w:t>
      </w:r>
    </w:p>
    <w:p>
      <w:pPr>
        <w:numPr>
          <w:ilvl w:val="1"/>
          <w:numId w:val="900"/>
        </w:numPr>
        <w:spacing w:before="0" w:after="0"/>
      </w:pPr>
      <w:r>
        <w:t>Aligning Risk Appetite with Business Strategy</w:t>
      </w:r>
    </w:p>
    <w:p>
      <w:pPr>
        <w:numPr>
          <w:ilvl w:val="1"/>
          <w:numId w:val="900"/>
        </w:numPr>
        <w:spacing w:before="0" w:after="0"/>
      </w:pPr>
      <w:r>
        <w:t>Risk Capacity vs. Risk Appetite</w:t>
      </w:r>
    </w:p>
    <w:p>
      <w:pPr>
        <w:numPr>
          <w:ilvl w:val="0"/>
          <w:numId w:val="900"/>
        </w:numPr>
        <w:spacing w:before="0" w:after="0"/>
      </w:pPr>
      <w:r>
        <w:t>The Chief Risk Officer (CRO) and Risk Governance</w:t>
      </w:r>
    </w:p>
    <w:p>
      <w:pPr>
        <w:numPr>
          <w:ilvl w:val="1"/>
          <w:numId w:val="900"/>
        </w:numPr>
        <w:spacing w:before="0" w:after="0"/>
      </w:pPr>
      <w:r>
        <w:t>Role and Responsibilities of the CRO</w:t>
      </w:r>
    </w:p>
    <w:p>
      <w:pPr>
        <w:numPr>
          <w:ilvl w:val="1"/>
          <w:numId w:val="900"/>
        </w:numPr>
        <w:spacing w:before="0" w:after="0"/>
      </w:pPr>
      <w:r>
        <w:t>Risk Committees and Governance Structures</w:t>
      </w:r>
    </w:p>
    <w:p>
      <w:pPr>
        <w:numPr>
          <w:ilvl w:val="1"/>
          <w:numId w:val="900"/>
        </w:numPr>
        <w:spacing w:before="0" w:after="0"/>
      </w:pPr>
      <w:r>
        <w:t>Three Lines of Defense Model</w:t>
      </w:r>
    </w:p>
    <w:p>
      <w:pPr>
        <w:numPr>
          <w:ilvl w:val="1"/>
          <w:numId w:val="900"/>
        </w:numPr>
        <w:spacing w:before="0" w:after="0"/>
      </w:pPr>
      <w:r>
        <w:t>Risk Policies and Procedures</w:t>
      </w:r>
    </w:p>
    <w:p>
      <w:pPr>
        <w:numPr>
          <w:ilvl w:val="1"/>
          <w:numId w:val="900"/>
        </w:numPr>
        <w:spacing w:before="0" w:after="0"/>
      </w:pPr>
      <w:r>
        <w:t>Board Risk Oversight</w:t>
      </w:r>
    </w:p>
    <w:p>
      <w:pPr>
        <w:pStyle w:val="Heading1"/>
      </w:pPr>
      <w:r>
        <w:t>Types of Financial Risks</w:t>
      </w:r>
    </w:p>
    <w:p>
      <w:pPr>
        <w:numPr>
          <w:ilvl w:val="0"/>
          <w:numId w:val="900"/>
        </w:numPr>
        <w:spacing w:before="0" w:after="0"/>
      </w:pPr>
      <w:r>
        <w:t>Market Risk</w:t>
      </w:r>
    </w:p>
    <w:p>
      <w:pPr>
        <w:numPr>
          <w:ilvl w:val="0"/>
          <w:numId w:val="900"/>
        </w:numPr>
        <w:spacing w:before="0" w:after="0"/>
      </w:pPr>
      <w:r>
        <w:t>Credit Risk</w:t>
      </w:r>
    </w:p>
    <w:p>
      <w:pPr>
        <w:numPr>
          <w:ilvl w:val="0"/>
          <w:numId w:val="900"/>
        </w:numPr>
        <w:spacing w:before="0" w:after="0"/>
      </w:pPr>
      <w:r>
        <w:t>Liquidity Risk</w:t>
      </w:r>
    </w:p>
    <w:p>
      <w:pPr>
        <w:numPr>
          <w:ilvl w:val="0"/>
          <w:numId w:val="900"/>
        </w:numPr>
        <w:spacing w:before="0" w:after="0"/>
      </w:pPr>
      <w:r>
        <w:t>Operational Risk</w:t>
      </w:r>
    </w:p>
    <w:p>
      <w:pPr>
        <w:numPr>
          <w:ilvl w:val="0"/>
          <w:numId w:val="900"/>
        </w:numPr>
        <w:spacing w:before="0" w:after="0"/>
      </w:pPr>
      <w:r>
        <w:t>Legal and Regulatory Risk</w:t>
      </w:r>
    </w:p>
    <w:p>
      <w:pPr>
        <w:numPr>
          <w:ilvl w:val="0"/>
          <w:numId w:val="900"/>
        </w:numPr>
        <w:spacing w:before="0" w:after="0"/>
      </w:pPr>
      <w:r>
        <w:t>Reputational Risk</w:t>
      </w:r>
    </w:p>
    <w:p>
      <w:pPr>
        <w:numPr>
          <w:ilvl w:val="0"/>
          <w:numId w:val="900"/>
        </w:numPr>
        <w:spacing w:before="0" w:after="0"/>
      </w:pPr>
      <w:r>
        <w:t>Strategic Risk</w:t>
      </w:r>
    </w:p>
    <w:p>
      <w:pPr>
        <w:numPr>
          <w:ilvl w:val="0"/>
          <w:numId w:val="900"/>
        </w:numPr>
        <w:spacing w:before="0" w:after="0"/>
      </w:pPr>
      <w:r>
        <w:t>Systemic Risk</w:t>
      </w:r>
    </w:p>
    <w:p>
      <w:pPr>
        <w:numPr>
          <w:ilvl w:val="0"/>
          <w:numId w:val="900"/>
        </w:numPr>
        <w:spacing w:before="0" w:after="0"/>
      </w:pPr>
      <w:r>
        <w:t>Model Risk</w:t>
      </w:r>
    </w:p>
    <w:p>
      <w:pPr>
        <w:numPr>
          <w:ilvl w:val="0"/>
          <w:numId w:val="900"/>
        </w:numPr>
        <w:spacing w:before="0" w:after="0"/>
      </w:pPr>
      <w:r>
        <w:t>Concentration Risk</w:t>
      </w:r>
    </w:p>
    <w:p>
      <w:pPr>
        <w:pStyle w:val="Heading1"/>
      </w:pPr>
      <w:r>
        <w:t>Market Risk</w:t>
      </w:r>
    </w:p>
    <w:p>
      <w:pPr>
        <w:numPr>
          <w:ilvl w:val="0"/>
          <w:numId w:val="900"/>
        </w:numPr>
        <w:spacing w:before="0" w:after="0"/>
      </w:pPr>
      <w:r>
        <w:t>Sources of Market Risk</w:t>
      </w:r>
    </w:p>
    <w:p>
      <w:pPr>
        <w:numPr>
          <w:ilvl w:val="1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Yield Curve Risk</w:t>
      </w:r>
    </w:p>
    <w:p>
      <w:pPr>
        <w:numPr>
          <w:ilvl w:val="2"/>
          <w:numId w:val="900"/>
        </w:numPr>
        <w:spacing w:before="0" w:after="0"/>
      </w:pPr>
      <w:r>
        <w:t>Basis Risk</w:t>
      </w:r>
    </w:p>
    <w:p>
      <w:pPr>
        <w:numPr>
          <w:ilvl w:val="2"/>
          <w:numId w:val="900"/>
        </w:numPr>
        <w:spacing w:before="0" w:after="0"/>
      </w:pPr>
      <w:r>
        <w:t>Repricing Risk</w:t>
      </w:r>
    </w:p>
    <w:p>
      <w:pPr>
        <w:numPr>
          <w:ilvl w:val="2"/>
          <w:numId w:val="900"/>
        </w:numPr>
        <w:spacing w:before="0" w:after="0"/>
      </w:pPr>
      <w:r>
        <w:t>Option Risk</w:t>
      </w:r>
    </w:p>
    <w:p>
      <w:pPr>
        <w:numPr>
          <w:ilvl w:val="1"/>
          <w:numId w:val="900"/>
        </w:numPr>
        <w:spacing w:before="0" w:after="0"/>
      </w:pPr>
      <w:r>
        <w:t>Equity Price Risk</w:t>
      </w:r>
    </w:p>
    <w:p>
      <w:pPr>
        <w:numPr>
          <w:ilvl w:val="2"/>
          <w:numId w:val="900"/>
        </w:numPr>
        <w:spacing w:before="0" w:after="0"/>
      </w:pPr>
      <w:r>
        <w:t>Stock Price Volatility</w:t>
      </w:r>
    </w:p>
    <w:p>
      <w:pPr>
        <w:numPr>
          <w:ilvl w:val="2"/>
          <w:numId w:val="900"/>
        </w:numPr>
        <w:spacing w:before="0" w:after="0"/>
      </w:pPr>
      <w:r>
        <w:t>Index Risk</w:t>
      </w:r>
    </w:p>
    <w:p>
      <w:pPr>
        <w:numPr>
          <w:ilvl w:val="2"/>
          <w:numId w:val="900"/>
        </w:numPr>
        <w:spacing w:before="0" w:after="0"/>
      </w:pPr>
      <w:r>
        <w:t>Sector Risk</w:t>
      </w:r>
    </w:p>
    <w:p>
      <w:pPr>
        <w:numPr>
          <w:ilvl w:val="1"/>
          <w:numId w:val="900"/>
        </w:numPr>
        <w:spacing w:before="0" w:after="0"/>
      </w:pPr>
      <w:r>
        <w:t>Foreign Exchange (Currency) Risk</w:t>
      </w:r>
    </w:p>
    <w:p>
      <w:pPr>
        <w:numPr>
          <w:ilvl w:val="2"/>
          <w:numId w:val="900"/>
        </w:numPr>
        <w:spacing w:before="0" w:after="0"/>
      </w:pPr>
      <w:r>
        <w:t>Transaction Risk</w:t>
      </w:r>
    </w:p>
    <w:p>
      <w:pPr>
        <w:numPr>
          <w:ilvl w:val="2"/>
          <w:numId w:val="900"/>
        </w:numPr>
        <w:spacing w:before="0" w:after="0"/>
      </w:pPr>
      <w:r>
        <w:t>Translation Risk</w:t>
      </w:r>
    </w:p>
    <w:p>
      <w:pPr>
        <w:numPr>
          <w:ilvl w:val="2"/>
          <w:numId w:val="900"/>
        </w:numPr>
        <w:spacing w:before="0" w:after="0"/>
      </w:pPr>
      <w:r>
        <w:t>Economic Exposure</w:t>
      </w:r>
    </w:p>
    <w:p>
      <w:pPr>
        <w:numPr>
          <w:ilvl w:val="2"/>
          <w:numId w:val="900"/>
        </w:numPr>
        <w:spacing w:before="0" w:after="0"/>
      </w:pPr>
      <w:r>
        <w:t>Currency Volatility</w:t>
      </w:r>
    </w:p>
    <w:p>
      <w:pPr>
        <w:numPr>
          <w:ilvl w:val="1"/>
          <w:numId w:val="900"/>
        </w:numPr>
        <w:spacing w:before="0" w:after="0"/>
      </w:pPr>
      <w:r>
        <w:t>Commodity Price Risk</w:t>
      </w:r>
    </w:p>
    <w:p>
      <w:pPr>
        <w:numPr>
          <w:ilvl w:val="2"/>
          <w:numId w:val="900"/>
        </w:numPr>
        <w:spacing w:before="0" w:after="0"/>
      </w:pPr>
      <w:r>
        <w:t>Energy Commodities</w:t>
      </w:r>
    </w:p>
    <w:p>
      <w:pPr>
        <w:numPr>
          <w:ilvl w:val="2"/>
          <w:numId w:val="900"/>
        </w:numPr>
        <w:spacing w:before="0" w:after="0"/>
      </w:pPr>
      <w:r>
        <w:t>Agricultural Commodities</w:t>
      </w:r>
    </w:p>
    <w:p>
      <w:pPr>
        <w:numPr>
          <w:ilvl w:val="2"/>
          <w:numId w:val="900"/>
        </w:numPr>
        <w:spacing w:before="0" w:after="0"/>
      </w:pPr>
      <w:r>
        <w:t>Metals and Minerals</w:t>
      </w:r>
    </w:p>
    <w:p>
      <w:pPr>
        <w:numPr>
          <w:ilvl w:val="2"/>
          <w:numId w:val="900"/>
        </w:numPr>
        <w:spacing w:before="0" w:after="0"/>
      </w:pPr>
      <w:r>
        <w:t>Weather Risk</w:t>
      </w:r>
    </w:p>
    <w:p>
      <w:pPr>
        <w:numPr>
          <w:ilvl w:val="1"/>
          <w:numId w:val="900"/>
        </w:numPr>
        <w:spacing w:before="0" w:after="0"/>
      </w:pPr>
      <w:r>
        <w:t>Volatility Risk</w:t>
      </w:r>
    </w:p>
    <w:p>
      <w:pPr>
        <w:numPr>
          <w:ilvl w:val="2"/>
          <w:numId w:val="900"/>
        </w:numPr>
        <w:spacing w:before="0" w:after="0"/>
      </w:pPr>
      <w:r>
        <w:t>Implied vs. Realized Volatility</w:t>
      </w:r>
    </w:p>
    <w:p>
      <w:pPr>
        <w:numPr>
          <w:ilvl w:val="2"/>
          <w:numId w:val="900"/>
        </w:numPr>
        <w:spacing w:before="0" w:after="0"/>
      </w:pPr>
      <w:r>
        <w:t>Volatility Clustering</w:t>
      </w:r>
    </w:p>
    <w:p>
      <w:pPr>
        <w:numPr>
          <w:ilvl w:val="0"/>
          <w:numId w:val="900"/>
        </w:numPr>
        <w:spacing w:before="0" w:after="0"/>
      </w:pPr>
      <w:r>
        <w:t>Measuring Market Risk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Duration (for bonds)</w:t>
      </w:r>
    </w:p>
    <w:p>
      <w:pPr>
        <w:numPr>
          <w:ilvl w:val="2"/>
          <w:numId w:val="900"/>
        </w:numPr>
        <w:spacing w:before="0" w:after="0"/>
      </w:pPr>
      <w:r>
        <w:t>Modified Duration</w:t>
      </w:r>
    </w:p>
    <w:p>
      <w:pPr>
        <w:numPr>
          <w:ilvl w:val="2"/>
          <w:numId w:val="900"/>
        </w:numPr>
        <w:spacing w:before="0" w:after="0"/>
      </w:pPr>
      <w:r>
        <w:t>Effective Duration</w:t>
      </w:r>
    </w:p>
    <w:p>
      <w:pPr>
        <w:numPr>
          <w:ilvl w:val="2"/>
          <w:numId w:val="900"/>
        </w:numPr>
        <w:spacing w:before="0" w:after="0"/>
      </w:pPr>
      <w:r>
        <w:t>Convexity (for bonds)</w:t>
      </w:r>
    </w:p>
    <w:p>
      <w:pPr>
        <w:numPr>
          <w:ilvl w:val="2"/>
          <w:numId w:val="900"/>
        </w:numPr>
        <w:spacing w:before="0" w:after="0"/>
      </w:pPr>
      <w:r>
        <w:t>The Greeks (for options)</w:t>
      </w:r>
    </w:p>
    <w:p>
      <w:pPr>
        <w:numPr>
          <w:ilvl w:val="3"/>
          <w:numId w:val="900"/>
        </w:numPr>
        <w:spacing w:before="0" w:after="0"/>
      </w:pPr>
      <w:r>
        <w:t>Delta</w:t>
      </w:r>
    </w:p>
    <w:p>
      <w:pPr>
        <w:numPr>
          <w:ilvl w:val="3"/>
          <w:numId w:val="900"/>
        </w:numPr>
        <w:spacing w:before="0" w:after="0"/>
      </w:pPr>
      <w:r>
        <w:t>Gamma</w:t>
      </w:r>
    </w:p>
    <w:p>
      <w:pPr>
        <w:numPr>
          <w:ilvl w:val="3"/>
          <w:numId w:val="900"/>
        </w:numPr>
        <w:spacing w:before="0" w:after="0"/>
      </w:pPr>
      <w:r>
        <w:t>Vega</w:t>
      </w:r>
    </w:p>
    <w:p>
      <w:pPr>
        <w:numPr>
          <w:ilvl w:val="3"/>
          <w:numId w:val="900"/>
        </w:numPr>
        <w:spacing w:before="0" w:after="0"/>
      </w:pPr>
      <w:r>
        <w:t>Theta</w:t>
      </w:r>
    </w:p>
    <w:p>
      <w:pPr>
        <w:numPr>
          <w:ilvl w:val="3"/>
          <w:numId w:val="900"/>
        </w:numPr>
        <w:spacing w:before="0" w:after="0"/>
      </w:pPr>
      <w:r>
        <w:t>Rho</w:t>
      </w:r>
    </w:p>
    <w:p>
      <w:pPr>
        <w:numPr>
          <w:ilvl w:val="2"/>
          <w:numId w:val="900"/>
        </w:numPr>
        <w:spacing w:before="0" w:after="0"/>
      </w:pPr>
      <w:r>
        <w:t>Beta (for equities)</w:t>
      </w:r>
    </w:p>
    <w:p>
      <w:pPr>
        <w:numPr>
          <w:ilvl w:val="1"/>
          <w:numId w:val="900"/>
        </w:numPr>
        <w:spacing w:before="0" w:after="0"/>
      </w:pPr>
      <w:r>
        <w:t>Value at Risk (VaR)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Parametric (Variance-Covariance) Method</w:t>
      </w:r>
    </w:p>
    <w:p>
      <w:pPr>
        <w:numPr>
          <w:ilvl w:val="2"/>
          <w:numId w:val="900"/>
        </w:numPr>
        <w:spacing w:before="0" w:after="0"/>
      </w:pPr>
      <w:r>
        <w:t>Historical Simulation Method</w:t>
      </w:r>
    </w:p>
    <w:p>
      <w:pPr>
        <w:numPr>
          <w:ilvl w:val="2"/>
          <w:numId w:val="900"/>
        </w:numPr>
        <w:spacing w:before="0" w:after="0"/>
      </w:pPr>
      <w:r>
        <w:t>Monte Carlo Simulation Method</w:t>
      </w:r>
    </w:p>
    <w:p>
      <w:pPr>
        <w:numPr>
          <w:ilvl w:val="2"/>
          <w:numId w:val="900"/>
        </w:numPr>
        <w:spacing w:before="0" w:after="0"/>
      </w:pPr>
      <w:r>
        <w:t>Limitations of VaR</w:t>
      </w:r>
    </w:p>
    <w:p>
      <w:pPr>
        <w:numPr>
          <w:ilvl w:val="2"/>
          <w:numId w:val="900"/>
        </w:numPr>
        <w:spacing w:before="0" w:after="0"/>
      </w:pPr>
      <w:r>
        <w:t>Confidence Levels and Time Horizons</w:t>
      </w:r>
    </w:p>
    <w:p>
      <w:pPr>
        <w:numPr>
          <w:ilvl w:val="1"/>
          <w:numId w:val="900"/>
        </w:numPr>
        <w:spacing w:before="0" w:after="0"/>
      </w:pPr>
      <w:r>
        <w:t>Expected Shortfall (ES) / Conditional VaR (CVaR)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Comparison with VaR</w:t>
      </w:r>
    </w:p>
    <w:p>
      <w:pPr>
        <w:numPr>
          <w:ilvl w:val="2"/>
          <w:numId w:val="900"/>
        </w:numPr>
        <w:spacing w:before="0" w:after="0"/>
      </w:pPr>
      <w:r>
        <w:t>Coherent Risk Measures</w:t>
      </w:r>
    </w:p>
    <w:p>
      <w:pPr>
        <w:numPr>
          <w:ilvl w:val="1"/>
          <w:numId w:val="900"/>
        </w:numPr>
        <w:spacing w:before="0" w:after="0"/>
      </w:pPr>
      <w:r>
        <w:t>Stress Testing and Scenario Analysis</w:t>
      </w:r>
    </w:p>
    <w:p>
      <w:pPr>
        <w:numPr>
          <w:ilvl w:val="2"/>
          <w:numId w:val="900"/>
        </w:numPr>
        <w:spacing w:before="0" w:after="0"/>
      </w:pPr>
      <w:r>
        <w:t>Designing Stress Scenarios</w:t>
      </w:r>
    </w:p>
    <w:p>
      <w:pPr>
        <w:numPr>
          <w:ilvl w:val="2"/>
          <w:numId w:val="900"/>
        </w:numPr>
        <w:spacing w:before="0" w:after="0"/>
      </w:pPr>
      <w:r>
        <w:t>Historical Scenarios</w:t>
      </w:r>
    </w:p>
    <w:p>
      <w:pPr>
        <w:numPr>
          <w:ilvl w:val="2"/>
          <w:numId w:val="900"/>
        </w:numPr>
        <w:spacing w:before="0" w:after="0"/>
      </w:pPr>
      <w:r>
        <w:t>Hypothetical Scenarios</w:t>
      </w:r>
    </w:p>
    <w:p>
      <w:pPr>
        <w:numPr>
          <w:ilvl w:val="2"/>
          <w:numId w:val="900"/>
        </w:numPr>
        <w:spacing w:before="0" w:after="0"/>
      </w:pPr>
      <w:r>
        <w:t>Reverse Stress Testing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Backtesting</w:t>
      </w:r>
    </w:p>
    <w:p>
      <w:pPr>
        <w:numPr>
          <w:ilvl w:val="2"/>
          <w:numId w:val="900"/>
        </w:numPr>
        <w:spacing w:before="0" w:after="0"/>
      </w:pPr>
      <w:r>
        <w:t>VaR Backtesting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Exception Analysis</w:t>
      </w:r>
    </w:p>
    <w:p>
      <w:pPr>
        <w:numPr>
          <w:ilvl w:val="0"/>
          <w:numId w:val="900"/>
        </w:numPr>
        <w:spacing w:before="0" w:after="0"/>
      </w:pPr>
      <w:r>
        <w:t>Managing Market Risk</w:t>
      </w:r>
    </w:p>
    <w:p>
      <w:pPr>
        <w:numPr>
          <w:ilvl w:val="1"/>
          <w:numId w:val="900"/>
        </w:numPr>
        <w:spacing w:before="0" w:after="0"/>
      </w:pPr>
      <w:r>
        <w:t>Hedging with Derivatives</w:t>
      </w:r>
    </w:p>
    <w:p>
      <w:pPr>
        <w:numPr>
          <w:ilvl w:val="2"/>
          <w:numId w:val="900"/>
        </w:numPr>
        <w:spacing w:before="0" w:after="0"/>
      </w:pPr>
      <w:r>
        <w:t>Forwards and Futures</w:t>
      </w:r>
    </w:p>
    <w:p>
      <w:pPr>
        <w:numPr>
          <w:ilvl w:val="3"/>
          <w:numId w:val="900"/>
        </w:numPr>
        <w:spacing w:before="0" w:after="0"/>
      </w:pPr>
      <w:r>
        <w:t>Mechanics of Forwards</w:t>
      </w:r>
    </w:p>
    <w:p>
      <w:pPr>
        <w:numPr>
          <w:ilvl w:val="3"/>
          <w:numId w:val="900"/>
        </w:numPr>
        <w:spacing w:before="0" w:after="0"/>
      </w:pPr>
      <w:r>
        <w:t>Mechanics of Futures</w:t>
      </w:r>
    </w:p>
    <w:p>
      <w:pPr>
        <w:numPr>
          <w:ilvl w:val="3"/>
          <w:numId w:val="900"/>
        </w:numPr>
        <w:spacing w:before="0" w:after="0"/>
      </w:pPr>
      <w:r>
        <w:t>Uses and Limitations</w:t>
      </w:r>
    </w:p>
    <w:p>
      <w:pPr>
        <w:numPr>
          <w:ilvl w:val="3"/>
          <w:numId w:val="900"/>
        </w:numPr>
        <w:spacing w:before="0" w:after="0"/>
      </w:pPr>
      <w:r>
        <w:t>Basis Risk in Hedging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3"/>
          <w:numId w:val="900"/>
        </w:numPr>
        <w:spacing w:before="0" w:after="0"/>
      </w:pPr>
      <w:r>
        <w:t>Call Options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Option Strategies</w:t>
      </w:r>
    </w:p>
    <w:p>
      <w:pPr>
        <w:numPr>
          <w:ilvl w:val="4"/>
          <w:numId w:val="900"/>
        </w:numPr>
        <w:spacing w:before="0" w:after="0"/>
      </w:pPr>
      <w:r>
        <w:t>Protective Puts</w:t>
      </w:r>
    </w:p>
    <w:p>
      <w:pPr>
        <w:numPr>
          <w:ilvl w:val="4"/>
          <w:numId w:val="900"/>
        </w:numPr>
        <w:spacing w:before="0" w:after="0"/>
      </w:pPr>
      <w:r>
        <w:t>Covered Calls</w:t>
      </w:r>
    </w:p>
    <w:p>
      <w:pPr>
        <w:numPr>
          <w:ilvl w:val="4"/>
          <w:numId w:val="900"/>
        </w:numPr>
        <w:spacing w:before="0" w:after="0"/>
      </w:pPr>
      <w:r>
        <w:t>Collars</w:t>
      </w:r>
    </w:p>
    <w:p>
      <w:pPr>
        <w:numPr>
          <w:ilvl w:val="4"/>
          <w:numId w:val="900"/>
        </w:numPr>
        <w:spacing w:before="0" w:after="0"/>
      </w:pPr>
      <w:r>
        <w:t>Straddles and Strangles</w:t>
      </w:r>
    </w:p>
    <w:p>
      <w:pPr>
        <w:numPr>
          <w:ilvl w:val="2"/>
          <w:numId w:val="900"/>
        </w:numPr>
        <w:spacing w:before="0" w:after="0"/>
      </w:pPr>
      <w:r>
        <w:t>Swaps</w:t>
      </w:r>
    </w:p>
    <w:p>
      <w:pPr>
        <w:numPr>
          <w:ilvl w:val="3"/>
          <w:numId w:val="900"/>
        </w:numPr>
        <w:spacing w:before="0" w:after="0"/>
      </w:pPr>
      <w:r>
        <w:t>Interest Rate Swaps</w:t>
      </w:r>
    </w:p>
    <w:p>
      <w:pPr>
        <w:numPr>
          <w:ilvl w:val="3"/>
          <w:numId w:val="900"/>
        </w:numPr>
        <w:spacing w:before="0" w:after="0"/>
      </w:pPr>
      <w:r>
        <w:t>Currency Swaps</w:t>
      </w:r>
    </w:p>
    <w:p>
      <w:pPr>
        <w:numPr>
          <w:ilvl w:val="3"/>
          <w:numId w:val="900"/>
        </w:numPr>
        <w:spacing w:before="0" w:after="0"/>
      </w:pPr>
      <w:r>
        <w:t>Commodity Swaps</w:t>
      </w:r>
    </w:p>
    <w:p>
      <w:pPr>
        <w:numPr>
          <w:ilvl w:val="3"/>
          <w:numId w:val="900"/>
        </w:numPr>
        <w:spacing w:before="0" w:after="0"/>
      </w:pPr>
      <w:r>
        <w:t>Credit Default Swaps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Portfolio Diversification</w:t>
      </w:r>
    </w:p>
    <w:p>
      <w:pPr>
        <w:numPr>
          <w:ilvl w:val="2"/>
          <w:numId w:val="900"/>
        </w:numPr>
        <w:spacing w:before="0" w:after="0"/>
      </w:pPr>
      <w:r>
        <w:t>Asset Allocation</w:t>
      </w:r>
    </w:p>
    <w:p>
      <w:pPr>
        <w:numPr>
          <w:ilvl w:val="2"/>
          <w:numId w:val="900"/>
        </w:numPr>
        <w:spacing w:before="0" w:after="0"/>
      </w:pPr>
      <w:r>
        <w:t>Correlation and Covariance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Sector Diversification</w:t>
      </w:r>
    </w:p>
    <w:p>
      <w:pPr>
        <w:numPr>
          <w:ilvl w:val="1"/>
          <w:numId w:val="900"/>
        </w:numPr>
        <w:spacing w:before="0" w:after="0"/>
      </w:pPr>
      <w:r>
        <w:t>Dynamic Hedging</w:t>
      </w:r>
    </w:p>
    <w:p>
      <w:pPr>
        <w:numPr>
          <w:ilvl w:val="2"/>
          <w:numId w:val="900"/>
        </w:numPr>
        <w:spacing w:before="0" w:after="0"/>
      </w:pPr>
      <w:r>
        <w:t>Delta Hedging</w:t>
      </w:r>
    </w:p>
    <w:p>
      <w:pPr>
        <w:numPr>
          <w:ilvl w:val="2"/>
          <w:numId w:val="900"/>
        </w:numPr>
        <w:spacing w:before="0" w:after="0"/>
      </w:pPr>
      <w:r>
        <w:t>Gamma Hedging</w:t>
      </w:r>
    </w:p>
    <w:p>
      <w:pPr>
        <w:numPr>
          <w:ilvl w:val="2"/>
          <w:numId w:val="900"/>
        </w:numPr>
        <w:spacing w:before="0" w:after="0"/>
      </w:pPr>
      <w:r>
        <w:t>Rebalancing Strategies</w:t>
      </w:r>
    </w:p>
    <w:p>
      <w:pPr>
        <w:numPr>
          <w:ilvl w:val="1"/>
          <w:numId w:val="900"/>
        </w:numPr>
        <w:spacing w:before="0" w:after="0"/>
      </w:pPr>
      <w:r>
        <w:t>Natural Hedging</w:t>
      </w:r>
    </w:p>
    <w:p>
      <w:pPr>
        <w:numPr>
          <w:ilvl w:val="2"/>
          <w:numId w:val="900"/>
        </w:numPr>
        <w:spacing w:before="0" w:after="0"/>
      </w:pPr>
      <w:r>
        <w:t>Operational Hedging</w:t>
      </w:r>
    </w:p>
    <w:p>
      <w:pPr>
        <w:numPr>
          <w:ilvl w:val="2"/>
          <w:numId w:val="900"/>
        </w:numPr>
        <w:spacing w:before="0" w:after="0"/>
      </w:pPr>
      <w:r>
        <w:t>Financial Hedging</w:t>
      </w:r>
    </w:p>
    <w:p>
      <w:pPr>
        <w:pStyle w:val="Heading1"/>
      </w:pPr>
      <w:r>
        <w:t>Credit Risk</w:t>
      </w:r>
    </w:p>
    <w:p>
      <w:pPr>
        <w:numPr>
          <w:ilvl w:val="0"/>
          <w:numId w:val="900"/>
        </w:numPr>
        <w:spacing w:before="0" w:after="0"/>
      </w:pPr>
      <w:r>
        <w:t>Sources of Credit Risk</w:t>
      </w:r>
    </w:p>
    <w:p>
      <w:pPr>
        <w:numPr>
          <w:ilvl w:val="1"/>
          <w:numId w:val="900"/>
        </w:numPr>
        <w:spacing w:before="0" w:after="0"/>
      </w:pPr>
      <w:r>
        <w:t>Default Risk</w:t>
      </w:r>
    </w:p>
    <w:p>
      <w:pPr>
        <w:numPr>
          <w:ilvl w:val="1"/>
          <w:numId w:val="900"/>
        </w:numPr>
        <w:spacing w:before="0" w:after="0"/>
      </w:pPr>
      <w:r>
        <w:t>Counterparty Risk</w:t>
      </w:r>
    </w:p>
    <w:p>
      <w:pPr>
        <w:numPr>
          <w:ilvl w:val="2"/>
          <w:numId w:val="900"/>
        </w:numPr>
        <w:spacing w:before="0" w:after="0"/>
      </w:pPr>
      <w:r>
        <w:t>Settlement Risk</w:t>
      </w:r>
    </w:p>
    <w:p>
      <w:pPr>
        <w:numPr>
          <w:ilvl w:val="2"/>
          <w:numId w:val="900"/>
        </w:numPr>
        <w:spacing w:before="0" w:after="0"/>
      </w:pPr>
      <w:r>
        <w:t>Pre-settlement Risk</w:t>
      </w:r>
    </w:p>
    <w:p>
      <w:pPr>
        <w:numPr>
          <w:ilvl w:val="2"/>
          <w:numId w:val="900"/>
        </w:numPr>
        <w:spacing w:before="0" w:after="0"/>
      </w:pPr>
      <w:r>
        <w:t>Replacement Cost Risk</w:t>
      </w:r>
    </w:p>
    <w:p>
      <w:pPr>
        <w:numPr>
          <w:ilvl w:val="1"/>
          <w:numId w:val="900"/>
        </w:numPr>
        <w:spacing w:before="0" w:after="0"/>
      </w:pPr>
      <w:r>
        <w:t>Concentration Risk</w:t>
      </w:r>
    </w:p>
    <w:p>
      <w:pPr>
        <w:numPr>
          <w:ilvl w:val="2"/>
          <w:numId w:val="900"/>
        </w:numPr>
        <w:spacing w:before="0" w:after="0"/>
      </w:pPr>
      <w:r>
        <w:t>Single Name Concentration</w:t>
      </w:r>
    </w:p>
    <w:p>
      <w:pPr>
        <w:numPr>
          <w:ilvl w:val="2"/>
          <w:numId w:val="900"/>
        </w:numPr>
        <w:spacing w:before="0" w:after="0"/>
      </w:pPr>
      <w:r>
        <w:t>Sectoral Concentration</w:t>
      </w:r>
    </w:p>
    <w:p>
      <w:pPr>
        <w:numPr>
          <w:ilvl w:val="2"/>
          <w:numId w:val="900"/>
        </w:numPr>
        <w:spacing w:before="0" w:after="0"/>
      </w:pPr>
      <w:r>
        <w:t>Geographic Concentration</w:t>
      </w:r>
    </w:p>
    <w:p>
      <w:pPr>
        <w:numPr>
          <w:ilvl w:val="1"/>
          <w:numId w:val="900"/>
        </w:numPr>
        <w:spacing w:before="0" w:after="0"/>
      </w:pPr>
      <w:r>
        <w:t>Country Risk</w:t>
      </w:r>
    </w:p>
    <w:p>
      <w:pPr>
        <w:numPr>
          <w:ilvl w:val="2"/>
          <w:numId w:val="900"/>
        </w:numPr>
        <w:spacing w:before="0" w:after="0"/>
      </w:pPr>
      <w:r>
        <w:t>Sovereign Risk</w:t>
      </w:r>
    </w:p>
    <w:p>
      <w:pPr>
        <w:numPr>
          <w:ilvl w:val="2"/>
          <w:numId w:val="900"/>
        </w:numPr>
        <w:spacing w:before="0" w:after="0"/>
      </w:pPr>
      <w:r>
        <w:t>Transfer Risk</w:t>
      </w:r>
    </w:p>
    <w:p>
      <w:pPr>
        <w:numPr>
          <w:ilvl w:val="2"/>
          <w:numId w:val="900"/>
        </w:numPr>
        <w:spacing w:before="0" w:after="0"/>
      </w:pPr>
      <w:r>
        <w:t>Political Risk</w:t>
      </w:r>
    </w:p>
    <w:p>
      <w:pPr>
        <w:numPr>
          <w:ilvl w:val="1"/>
          <w:numId w:val="900"/>
        </w:numPr>
        <w:spacing w:before="0" w:after="0"/>
      </w:pPr>
      <w:r>
        <w:t>Wrong-Way Risk</w:t>
      </w:r>
    </w:p>
    <w:p>
      <w:pPr>
        <w:numPr>
          <w:ilvl w:val="2"/>
          <w:numId w:val="900"/>
        </w:numPr>
        <w:spacing w:before="0" w:after="0"/>
      </w:pPr>
      <w:r>
        <w:t>General Wrong-Way Risk</w:t>
      </w:r>
    </w:p>
    <w:p>
      <w:pPr>
        <w:numPr>
          <w:ilvl w:val="2"/>
          <w:numId w:val="900"/>
        </w:numPr>
        <w:spacing w:before="0" w:after="0"/>
      </w:pPr>
      <w:r>
        <w:t>Specific Wrong-Way Risk</w:t>
      </w:r>
    </w:p>
    <w:p>
      <w:pPr>
        <w:numPr>
          <w:ilvl w:val="0"/>
          <w:numId w:val="900"/>
        </w:numPr>
        <w:spacing w:before="0" w:after="0"/>
      </w:pPr>
      <w:r>
        <w:t>Measuring Credit Risk</w:t>
      </w:r>
    </w:p>
    <w:p>
      <w:pPr>
        <w:numPr>
          <w:ilvl w:val="1"/>
          <w:numId w:val="900"/>
        </w:numPr>
        <w:spacing w:before="0" w:after="0"/>
      </w:pPr>
      <w:r>
        <w:t>Credit Scoring Models</w:t>
      </w:r>
    </w:p>
    <w:p>
      <w:pPr>
        <w:numPr>
          <w:ilvl w:val="2"/>
          <w:numId w:val="900"/>
        </w:numPr>
        <w:spacing w:before="0" w:after="0"/>
      </w:pPr>
      <w:r>
        <w:t>Qualitative Models</w:t>
      </w:r>
    </w:p>
    <w:p>
      <w:pPr>
        <w:numPr>
          <w:ilvl w:val="2"/>
          <w:numId w:val="900"/>
        </w:numPr>
        <w:spacing w:before="0" w:after="0"/>
      </w:pPr>
      <w:r>
        <w:t>Quantitative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Credit Ratings</w:t>
      </w:r>
    </w:p>
    <w:p>
      <w:pPr>
        <w:numPr>
          <w:ilvl w:val="2"/>
          <w:numId w:val="900"/>
        </w:numPr>
        <w:spacing w:before="0" w:after="0"/>
      </w:pPr>
      <w:r>
        <w:t>Internal Credit Ratings</w:t>
      </w:r>
    </w:p>
    <w:p>
      <w:pPr>
        <w:numPr>
          <w:ilvl w:val="2"/>
          <w:numId w:val="900"/>
        </w:numPr>
        <w:spacing w:before="0" w:after="0"/>
      </w:pPr>
      <w:r>
        <w:t>External Credit Ratings (Rating Agencies)</w:t>
      </w:r>
    </w:p>
    <w:p>
      <w:pPr>
        <w:numPr>
          <w:ilvl w:val="2"/>
          <w:numId w:val="900"/>
        </w:numPr>
        <w:spacing w:before="0" w:after="0"/>
      </w:pPr>
      <w:r>
        <w:t>Rating Migration</w:t>
      </w:r>
    </w:p>
    <w:p>
      <w:pPr>
        <w:numPr>
          <w:ilvl w:val="2"/>
          <w:numId w:val="900"/>
        </w:numPr>
        <w:spacing w:before="0" w:after="0"/>
      </w:pPr>
      <w:r>
        <w:t>Rating Stability</w:t>
      </w:r>
    </w:p>
    <w:p>
      <w:pPr>
        <w:numPr>
          <w:ilvl w:val="1"/>
          <w:numId w:val="900"/>
        </w:numPr>
        <w:spacing w:before="0" w:after="0"/>
      </w:pPr>
      <w:r>
        <w:t>Probability of Default (PD)</w:t>
      </w:r>
    </w:p>
    <w:p>
      <w:pPr>
        <w:numPr>
          <w:ilvl w:val="2"/>
          <w:numId w:val="900"/>
        </w:numPr>
        <w:spacing w:before="0" w:after="0"/>
      </w:pPr>
      <w:r>
        <w:t>Point-in-Time PD</w:t>
      </w:r>
    </w:p>
    <w:p>
      <w:pPr>
        <w:numPr>
          <w:ilvl w:val="2"/>
          <w:numId w:val="900"/>
        </w:numPr>
        <w:spacing w:before="0" w:after="0"/>
      </w:pPr>
      <w:r>
        <w:t>Through-the-Cycle PD</w:t>
      </w:r>
    </w:p>
    <w:p>
      <w:pPr>
        <w:numPr>
          <w:ilvl w:val="2"/>
          <w:numId w:val="900"/>
        </w:numPr>
        <w:spacing w:before="0" w:after="0"/>
      </w:pPr>
      <w:r>
        <w:t>Cumulative PD</w:t>
      </w:r>
    </w:p>
    <w:p>
      <w:pPr>
        <w:numPr>
          <w:ilvl w:val="1"/>
          <w:numId w:val="900"/>
        </w:numPr>
        <w:spacing w:before="0" w:after="0"/>
      </w:pPr>
      <w:r>
        <w:t>Loss Given Default (LGD)</w:t>
      </w:r>
    </w:p>
    <w:p>
      <w:pPr>
        <w:numPr>
          <w:ilvl w:val="2"/>
          <w:numId w:val="900"/>
        </w:numPr>
        <w:spacing w:before="0" w:after="0"/>
      </w:pPr>
      <w:r>
        <w:t>Workout LGD</w:t>
      </w:r>
    </w:p>
    <w:p>
      <w:pPr>
        <w:numPr>
          <w:ilvl w:val="2"/>
          <w:numId w:val="900"/>
        </w:numPr>
        <w:spacing w:before="0" w:after="0"/>
      </w:pPr>
      <w:r>
        <w:t>Market LGD</w:t>
      </w:r>
    </w:p>
    <w:p>
      <w:pPr>
        <w:numPr>
          <w:ilvl w:val="2"/>
          <w:numId w:val="900"/>
        </w:numPr>
        <w:spacing w:before="0" w:after="0"/>
      </w:pPr>
      <w:r>
        <w:t>Downturn LGD</w:t>
      </w:r>
    </w:p>
    <w:p>
      <w:pPr>
        <w:numPr>
          <w:ilvl w:val="1"/>
          <w:numId w:val="900"/>
        </w:numPr>
        <w:spacing w:before="0" w:after="0"/>
      </w:pPr>
      <w:r>
        <w:t>Exposure at Default (EAD)</w:t>
      </w:r>
    </w:p>
    <w:p>
      <w:pPr>
        <w:numPr>
          <w:ilvl w:val="2"/>
          <w:numId w:val="900"/>
        </w:numPr>
        <w:spacing w:before="0" w:after="0"/>
      </w:pPr>
      <w:r>
        <w:t>Current Exposure</w:t>
      </w:r>
    </w:p>
    <w:p>
      <w:pPr>
        <w:numPr>
          <w:ilvl w:val="2"/>
          <w:numId w:val="900"/>
        </w:numPr>
        <w:spacing w:before="0" w:after="0"/>
      </w:pPr>
      <w:r>
        <w:t>Potential Future Exposure</w:t>
      </w:r>
    </w:p>
    <w:p>
      <w:pPr>
        <w:numPr>
          <w:ilvl w:val="2"/>
          <w:numId w:val="900"/>
        </w:numPr>
        <w:spacing w:before="0" w:after="0"/>
      </w:pPr>
      <w:r>
        <w:t>Credit Conversion Factors</w:t>
      </w:r>
    </w:p>
    <w:p>
      <w:pPr>
        <w:numPr>
          <w:ilvl w:val="1"/>
          <w:numId w:val="900"/>
        </w:numPr>
        <w:spacing w:before="0" w:after="0"/>
      </w:pPr>
      <w:r>
        <w:t>Expected Loss (EL)</w:t>
      </w:r>
    </w:p>
    <w:p>
      <w:pPr>
        <w:numPr>
          <w:ilvl w:val="1"/>
          <w:numId w:val="900"/>
        </w:numPr>
        <w:spacing w:before="0" w:after="0"/>
      </w:pPr>
      <w:r>
        <w:t>Unexpected Loss (UL)</w:t>
      </w:r>
    </w:p>
    <w:p>
      <w:pPr>
        <w:numPr>
          <w:ilvl w:val="1"/>
          <w:numId w:val="900"/>
        </w:numPr>
        <w:spacing w:before="0" w:after="0"/>
      </w:pPr>
      <w:r>
        <w:t>Credit Value Adjustment (CVA)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Impact on Derivative Pricing</w:t>
      </w:r>
    </w:p>
    <w:p>
      <w:pPr>
        <w:numPr>
          <w:ilvl w:val="2"/>
          <w:numId w:val="900"/>
        </w:numPr>
        <w:spacing w:before="0" w:after="0"/>
      </w:pPr>
      <w:r>
        <w:t>CVA Hedging</w:t>
      </w:r>
    </w:p>
    <w:p>
      <w:pPr>
        <w:numPr>
          <w:ilvl w:val="1"/>
          <w:numId w:val="900"/>
        </w:numPr>
        <w:spacing w:before="0" w:after="0"/>
      </w:pPr>
      <w:r>
        <w:t>Portfolio Credit Risk Models</w:t>
      </w:r>
    </w:p>
    <w:p>
      <w:pPr>
        <w:numPr>
          <w:ilvl w:val="2"/>
          <w:numId w:val="900"/>
        </w:numPr>
        <w:spacing w:before="0" w:after="0"/>
      </w:pPr>
      <w:r>
        <w:t>Merton Model</w:t>
      </w:r>
    </w:p>
    <w:p>
      <w:pPr>
        <w:numPr>
          <w:ilvl w:val="2"/>
          <w:numId w:val="900"/>
        </w:numPr>
        <w:spacing w:before="0" w:after="0"/>
      </w:pPr>
      <w:r>
        <w:t>CreditMetrics</w:t>
      </w:r>
    </w:p>
    <w:p>
      <w:pPr>
        <w:numPr>
          <w:ilvl w:val="2"/>
          <w:numId w:val="900"/>
        </w:numPr>
        <w:spacing w:before="0" w:after="0"/>
      </w:pPr>
      <w:r>
        <w:t>KMV Model</w:t>
      </w:r>
    </w:p>
    <w:p>
      <w:pPr>
        <w:numPr>
          <w:ilvl w:val="2"/>
          <w:numId w:val="900"/>
        </w:numPr>
        <w:spacing w:before="0" w:after="0"/>
      </w:pPr>
      <w:r>
        <w:t>CreditRisk+</w:t>
      </w:r>
    </w:p>
    <w:p>
      <w:pPr>
        <w:numPr>
          <w:ilvl w:val="0"/>
          <w:numId w:val="900"/>
        </w:numPr>
        <w:spacing w:before="0" w:after="0"/>
      </w:pPr>
      <w:r>
        <w:t>Managing Credit Risk</w:t>
      </w:r>
    </w:p>
    <w:p>
      <w:pPr>
        <w:numPr>
          <w:ilvl w:val="1"/>
          <w:numId w:val="900"/>
        </w:numPr>
        <w:spacing w:before="0" w:after="0"/>
      </w:pPr>
      <w:r>
        <w:t>Credit Analysis and Due Diligence</w:t>
      </w:r>
    </w:p>
    <w:p>
      <w:pPr>
        <w:numPr>
          <w:ilvl w:val="2"/>
          <w:numId w:val="900"/>
        </w:numPr>
        <w:spacing w:before="0" w:after="0"/>
      </w:pPr>
      <w:r>
        <w:t>Financial Statement Analysis</w:t>
      </w:r>
    </w:p>
    <w:p>
      <w:pPr>
        <w:numPr>
          <w:ilvl w:val="2"/>
          <w:numId w:val="900"/>
        </w:numPr>
        <w:spacing w:before="0" w:after="0"/>
      </w:pPr>
      <w:r>
        <w:t>Industry and Sector Analysis</w:t>
      </w:r>
    </w:p>
    <w:p>
      <w:pPr>
        <w:numPr>
          <w:ilvl w:val="2"/>
          <w:numId w:val="900"/>
        </w:numPr>
        <w:spacing w:before="0" w:after="0"/>
      </w:pPr>
      <w:r>
        <w:t>Management Assessment</w:t>
      </w:r>
    </w:p>
    <w:p>
      <w:pPr>
        <w:numPr>
          <w:ilvl w:val="2"/>
          <w:numId w:val="900"/>
        </w:numPr>
        <w:spacing w:before="0" w:after="0"/>
      </w:pPr>
      <w:r>
        <w:t>Covenant Analysis</w:t>
      </w:r>
    </w:p>
    <w:p>
      <w:pPr>
        <w:numPr>
          <w:ilvl w:val="1"/>
          <w:numId w:val="900"/>
        </w:numPr>
        <w:spacing w:before="0" w:after="0"/>
      </w:pPr>
      <w:r>
        <w:t>Setting Credit Limits</w:t>
      </w:r>
    </w:p>
    <w:p>
      <w:pPr>
        <w:numPr>
          <w:ilvl w:val="2"/>
          <w:numId w:val="900"/>
        </w:numPr>
        <w:spacing w:before="0" w:after="0"/>
      </w:pPr>
      <w:r>
        <w:t>Counterparty Limits</w:t>
      </w:r>
    </w:p>
    <w:p>
      <w:pPr>
        <w:numPr>
          <w:ilvl w:val="2"/>
          <w:numId w:val="900"/>
        </w:numPr>
        <w:spacing w:before="0" w:after="0"/>
      </w:pPr>
      <w:r>
        <w:t>Portfolio Limits</w:t>
      </w:r>
    </w:p>
    <w:p>
      <w:pPr>
        <w:numPr>
          <w:ilvl w:val="2"/>
          <w:numId w:val="900"/>
        </w:numPr>
        <w:spacing w:before="0" w:after="0"/>
      </w:pPr>
      <w:r>
        <w:t>Country Limits</w:t>
      </w:r>
    </w:p>
    <w:p>
      <w:pPr>
        <w:numPr>
          <w:ilvl w:val="2"/>
          <w:numId w:val="900"/>
        </w:numPr>
        <w:spacing w:before="0" w:after="0"/>
      </w:pPr>
      <w:r>
        <w:t>Product Limits</w:t>
      </w:r>
    </w:p>
    <w:p>
      <w:pPr>
        <w:numPr>
          <w:ilvl w:val="1"/>
          <w:numId w:val="900"/>
        </w:numPr>
        <w:spacing w:before="0" w:after="0"/>
      </w:pPr>
      <w:r>
        <w:t>Collateralization</w:t>
      </w:r>
    </w:p>
    <w:p>
      <w:pPr>
        <w:numPr>
          <w:ilvl w:val="2"/>
          <w:numId w:val="900"/>
        </w:numPr>
        <w:spacing w:before="0" w:after="0"/>
      </w:pPr>
      <w:r>
        <w:t>Types of Collateral</w:t>
      </w:r>
    </w:p>
    <w:p>
      <w:pPr>
        <w:numPr>
          <w:ilvl w:val="2"/>
          <w:numId w:val="900"/>
        </w:numPr>
        <w:spacing w:before="0" w:after="0"/>
      </w:pPr>
      <w:r>
        <w:t>Collateral Valuation and Management</w:t>
      </w:r>
    </w:p>
    <w:p>
      <w:pPr>
        <w:numPr>
          <w:ilvl w:val="2"/>
          <w:numId w:val="900"/>
        </w:numPr>
        <w:spacing w:before="0" w:after="0"/>
      </w:pPr>
      <w:r>
        <w:t>Haircuts and Margin Requirements</w:t>
      </w:r>
    </w:p>
    <w:p>
      <w:pPr>
        <w:numPr>
          <w:ilvl w:val="2"/>
          <w:numId w:val="900"/>
        </w:numPr>
        <w:spacing w:before="0" w:after="0"/>
      </w:pPr>
      <w:r>
        <w:t>Collateral Agreements</w:t>
      </w:r>
    </w:p>
    <w:p>
      <w:pPr>
        <w:numPr>
          <w:ilvl w:val="1"/>
          <w:numId w:val="900"/>
        </w:numPr>
        <w:spacing w:before="0" w:after="0"/>
      </w:pPr>
      <w:r>
        <w:t>Netting Agreements</w:t>
      </w:r>
    </w:p>
    <w:p>
      <w:pPr>
        <w:numPr>
          <w:ilvl w:val="2"/>
          <w:numId w:val="900"/>
        </w:numPr>
        <w:spacing w:before="0" w:after="0"/>
      </w:pPr>
      <w:r>
        <w:t>Bilateral Netting</w:t>
      </w:r>
    </w:p>
    <w:p>
      <w:pPr>
        <w:numPr>
          <w:ilvl w:val="2"/>
          <w:numId w:val="900"/>
        </w:numPr>
        <w:spacing w:before="0" w:after="0"/>
      </w:pPr>
      <w:r>
        <w:t>Multilateral Netting</w:t>
      </w:r>
    </w:p>
    <w:p>
      <w:pPr>
        <w:numPr>
          <w:ilvl w:val="2"/>
          <w:numId w:val="900"/>
        </w:numPr>
        <w:spacing w:before="0" w:after="0"/>
      </w:pPr>
      <w:r>
        <w:t>Close-out Netting</w:t>
      </w:r>
    </w:p>
    <w:p>
      <w:pPr>
        <w:numPr>
          <w:ilvl w:val="1"/>
          <w:numId w:val="900"/>
        </w:numPr>
        <w:spacing w:before="0" w:after="0"/>
      </w:pPr>
      <w:r>
        <w:t>Credit Derivatives</w:t>
      </w:r>
    </w:p>
    <w:p>
      <w:pPr>
        <w:numPr>
          <w:ilvl w:val="2"/>
          <w:numId w:val="900"/>
        </w:numPr>
        <w:spacing w:before="0" w:after="0"/>
      </w:pPr>
      <w:r>
        <w:t>Credit Default Swaps (CDS)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Uses in Risk Management</w:t>
      </w:r>
    </w:p>
    <w:p>
      <w:pPr>
        <w:numPr>
          <w:ilvl w:val="3"/>
          <w:numId w:val="900"/>
        </w:numPr>
        <w:spacing w:before="0" w:after="0"/>
      </w:pPr>
      <w:r>
        <w:t>CDS Pricing</w:t>
      </w:r>
    </w:p>
    <w:p>
      <w:pPr>
        <w:numPr>
          <w:ilvl w:val="2"/>
          <w:numId w:val="900"/>
        </w:numPr>
        <w:spacing w:before="0" w:after="0"/>
      </w:pPr>
      <w:r>
        <w:t>Total Return Swaps</w:t>
      </w:r>
    </w:p>
    <w:p>
      <w:pPr>
        <w:numPr>
          <w:ilvl w:val="2"/>
          <w:numId w:val="900"/>
        </w:numPr>
        <w:spacing w:before="0" w:after="0"/>
      </w:pPr>
      <w:r>
        <w:t>Credit Linked Notes</w:t>
      </w:r>
    </w:p>
    <w:p>
      <w:pPr>
        <w:numPr>
          <w:ilvl w:val="2"/>
          <w:numId w:val="900"/>
        </w:numPr>
        <w:spacing w:before="0" w:after="0"/>
      </w:pPr>
      <w:r>
        <w:t>Collateralized Debt Obligations (CDO)</w:t>
      </w:r>
    </w:p>
    <w:p>
      <w:pPr>
        <w:numPr>
          <w:ilvl w:val="3"/>
          <w:numId w:val="900"/>
        </w:numPr>
        <w:spacing w:before="0" w:after="0"/>
      </w:pPr>
      <w:r>
        <w:t>Structure and Tranching</w:t>
      </w:r>
    </w:p>
    <w:p>
      <w:pPr>
        <w:numPr>
          <w:ilvl w:val="3"/>
          <w:numId w:val="900"/>
        </w:numPr>
        <w:spacing w:before="0" w:after="0"/>
      </w:pPr>
      <w:r>
        <w:t>Risk Transfer Mechanisms</w:t>
      </w:r>
    </w:p>
    <w:p>
      <w:pPr>
        <w:numPr>
          <w:ilvl w:val="1"/>
          <w:numId w:val="900"/>
        </w:numPr>
        <w:spacing w:before="0" w:after="0"/>
      </w:pPr>
      <w:r>
        <w:t>Loan Sales and Securitization</w:t>
      </w:r>
    </w:p>
    <w:p>
      <w:pPr>
        <w:numPr>
          <w:ilvl w:val="2"/>
          <w:numId w:val="900"/>
        </w:numPr>
        <w:spacing w:before="0" w:after="0"/>
      </w:pPr>
      <w:r>
        <w:t>Asset-Backed Securities</w:t>
      </w:r>
    </w:p>
    <w:p>
      <w:pPr>
        <w:numPr>
          <w:ilvl w:val="2"/>
          <w:numId w:val="900"/>
        </w:numPr>
        <w:spacing w:before="0" w:after="0"/>
      </w:pPr>
      <w:r>
        <w:t>Mortgage-Backed Securities</w:t>
      </w:r>
    </w:p>
    <w:p>
      <w:pPr>
        <w:numPr>
          <w:ilvl w:val="2"/>
          <w:numId w:val="900"/>
        </w:numPr>
        <w:spacing w:before="0" w:after="0"/>
      </w:pPr>
      <w:r>
        <w:t>Loan Participations</w:t>
      </w:r>
    </w:p>
    <w:p>
      <w:pPr>
        <w:numPr>
          <w:ilvl w:val="1"/>
          <w:numId w:val="900"/>
        </w:numPr>
        <w:spacing w:before="0" w:after="0"/>
      </w:pPr>
      <w:r>
        <w:t>Credit Insurance</w:t>
      </w:r>
    </w:p>
    <w:p>
      <w:pPr>
        <w:numPr>
          <w:ilvl w:val="2"/>
          <w:numId w:val="900"/>
        </w:numPr>
        <w:spacing w:before="0" w:after="0"/>
      </w:pPr>
      <w:r>
        <w:t>Trade Credit Insurance</w:t>
      </w:r>
    </w:p>
    <w:p>
      <w:pPr>
        <w:numPr>
          <w:ilvl w:val="2"/>
          <w:numId w:val="900"/>
        </w:numPr>
        <w:spacing w:before="0" w:after="0"/>
      </w:pPr>
      <w:r>
        <w:t>Political Risk Insurance</w:t>
      </w:r>
    </w:p>
    <w:p>
      <w:pPr>
        <w:pStyle w:val="Heading1"/>
      </w:pPr>
      <w:r>
        <w:t>Liquidity Risk</w:t>
      </w:r>
    </w:p>
    <w:p>
      <w:pPr>
        <w:numPr>
          <w:ilvl w:val="0"/>
          <w:numId w:val="900"/>
        </w:numPr>
        <w:spacing w:before="0" w:after="0"/>
      </w:pPr>
      <w:r>
        <w:t>Types of Liquidity Risk</w:t>
      </w:r>
    </w:p>
    <w:p>
      <w:pPr>
        <w:numPr>
          <w:ilvl w:val="1"/>
          <w:numId w:val="900"/>
        </w:numPr>
        <w:spacing w:before="0" w:after="0"/>
      </w:pPr>
      <w:r>
        <w:t>Funding Liquidity Risk</w:t>
      </w:r>
    </w:p>
    <w:p>
      <w:pPr>
        <w:numPr>
          <w:ilvl w:val="2"/>
          <w:numId w:val="900"/>
        </w:numPr>
        <w:spacing w:before="0" w:after="0"/>
      </w:pPr>
      <w:r>
        <w:t>Inability to Meet Obligations</w:t>
      </w:r>
    </w:p>
    <w:p>
      <w:pPr>
        <w:numPr>
          <w:ilvl w:val="2"/>
          <w:numId w:val="900"/>
        </w:numPr>
        <w:spacing w:before="0" w:after="0"/>
      </w:pPr>
      <w:r>
        <w:t>Funding Mismatches</w:t>
      </w:r>
    </w:p>
    <w:p>
      <w:pPr>
        <w:numPr>
          <w:ilvl w:val="2"/>
          <w:numId w:val="900"/>
        </w:numPr>
        <w:spacing w:before="0" w:after="0"/>
      </w:pPr>
      <w:r>
        <w:t>Rollover Risk</w:t>
      </w:r>
    </w:p>
    <w:p>
      <w:pPr>
        <w:numPr>
          <w:ilvl w:val="1"/>
          <w:numId w:val="900"/>
        </w:numPr>
        <w:spacing w:before="0" w:after="0"/>
      </w:pPr>
      <w:r>
        <w:t>Market Liquidity Risk</w:t>
      </w:r>
    </w:p>
    <w:p>
      <w:pPr>
        <w:numPr>
          <w:ilvl w:val="2"/>
          <w:numId w:val="900"/>
        </w:numPr>
        <w:spacing w:before="0" w:after="0"/>
      </w:pPr>
      <w:r>
        <w:t>Inability to Sell Assets Quickly</w:t>
      </w:r>
    </w:p>
    <w:p>
      <w:pPr>
        <w:numPr>
          <w:ilvl w:val="2"/>
          <w:numId w:val="900"/>
        </w:numPr>
        <w:spacing w:before="0" w:after="0"/>
      </w:pPr>
      <w:r>
        <w:t>Price Impact of Liquidation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1"/>
          <w:numId w:val="900"/>
        </w:numPr>
        <w:spacing w:before="0" w:after="0"/>
      </w:pPr>
      <w:r>
        <w:t>Contingent Liquidity Risk</w:t>
      </w:r>
    </w:p>
    <w:p>
      <w:pPr>
        <w:numPr>
          <w:ilvl w:val="2"/>
          <w:numId w:val="900"/>
        </w:numPr>
        <w:spacing w:before="0" w:after="0"/>
      </w:pPr>
      <w:r>
        <w:t>Off-Balance Sheet Commitments</w:t>
      </w:r>
    </w:p>
    <w:p>
      <w:pPr>
        <w:numPr>
          <w:ilvl w:val="2"/>
          <w:numId w:val="900"/>
        </w:numPr>
        <w:spacing w:before="0" w:after="0"/>
      </w:pPr>
      <w:r>
        <w:t>Contingent Claims</w:t>
      </w:r>
    </w:p>
    <w:p>
      <w:pPr>
        <w:numPr>
          <w:ilvl w:val="0"/>
          <w:numId w:val="900"/>
        </w:numPr>
        <w:spacing w:before="0" w:after="0"/>
      </w:pPr>
      <w:r>
        <w:t>Measuring Liquidity Risk</w:t>
      </w:r>
    </w:p>
    <w:p>
      <w:pPr>
        <w:numPr>
          <w:ilvl w:val="1"/>
          <w:numId w:val="900"/>
        </w:numPr>
        <w:spacing w:before="0" w:after="0"/>
      </w:pPr>
      <w:r>
        <w:t>Liquidity Ratios</w:t>
      </w:r>
    </w:p>
    <w:p>
      <w:pPr>
        <w:numPr>
          <w:ilvl w:val="2"/>
          <w:numId w:val="900"/>
        </w:numPr>
        <w:spacing w:before="0" w:after="0"/>
      </w:pPr>
      <w:r>
        <w:t>Current Ratio</w:t>
      </w:r>
    </w:p>
    <w:p>
      <w:pPr>
        <w:numPr>
          <w:ilvl w:val="2"/>
          <w:numId w:val="900"/>
        </w:numPr>
        <w:spacing w:before="0" w:after="0"/>
      </w:pPr>
      <w:r>
        <w:t>Quick Ratio</w:t>
      </w:r>
    </w:p>
    <w:p>
      <w:pPr>
        <w:numPr>
          <w:ilvl w:val="2"/>
          <w:numId w:val="900"/>
        </w:numPr>
        <w:spacing w:before="0" w:after="0"/>
      </w:pPr>
      <w:r>
        <w:t>Liquidity Coverage Ratio (LCR)</w:t>
      </w:r>
    </w:p>
    <w:p>
      <w:pPr>
        <w:numPr>
          <w:ilvl w:val="2"/>
          <w:numId w:val="900"/>
        </w:numPr>
        <w:spacing w:before="0" w:after="0"/>
      </w:pPr>
      <w:r>
        <w:t>Cash Ratio</w:t>
      </w:r>
    </w:p>
    <w:p>
      <w:pPr>
        <w:numPr>
          <w:ilvl w:val="1"/>
          <w:numId w:val="900"/>
        </w:numPr>
        <w:spacing w:before="0" w:after="0"/>
      </w:pPr>
      <w:r>
        <w:t>Liquidity Gap Analysis</w:t>
      </w:r>
    </w:p>
    <w:p>
      <w:pPr>
        <w:numPr>
          <w:ilvl w:val="2"/>
          <w:numId w:val="900"/>
        </w:numPr>
        <w:spacing w:before="0" w:after="0"/>
      </w:pPr>
      <w:r>
        <w:t>Maturity Mismatch Analysis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Behavioral Assumptions</w:t>
      </w:r>
    </w:p>
    <w:p>
      <w:pPr>
        <w:numPr>
          <w:ilvl w:val="1"/>
          <w:numId w:val="900"/>
        </w:numPr>
        <w:spacing w:before="0" w:after="0"/>
      </w:pPr>
      <w:r>
        <w:t>Net Stable Funding Ratio (NSFR)</w:t>
      </w:r>
    </w:p>
    <w:p>
      <w:pPr>
        <w:numPr>
          <w:ilvl w:val="1"/>
          <w:numId w:val="900"/>
        </w:numPr>
        <w:spacing w:before="0" w:after="0"/>
      </w:pPr>
      <w:r>
        <w:t>Market-Based Indicators</w:t>
      </w:r>
    </w:p>
    <w:p>
      <w:pPr>
        <w:numPr>
          <w:ilvl w:val="2"/>
          <w:numId w:val="900"/>
        </w:numPr>
        <w:spacing w:before="0" w:after="0"/>
      </w:pPr>
      <w:r>
        <w:t>Bid-Ask Spread</w:t>
      </w:r>
    </w:p>
    <w:p>
      <w:pPr>
        <w:numPr>
          <w:ilvl w:val="2"/>
          <w:numId w:val="900"/>
        </w:numPr>
        <w:spacing w:before="0" w:after="0"/>
      </w:pPr>
      <w:r>
        <w:t>Trading Volume</w:t>
      </w:r>
    </w:p>
    <w:p>
      <w:pPr>
        <w:numPr>
          <w:ilvl w:val="2"/>
          <w:numId w:val="900"/>
        </w:numPr>
        <w:spacing w:before="0" w:after="0"/>
      </w:pPr>
      <w:r>
        <w:t>Market Depth</w:t>
      </w:r>
    </w:p>
    <w:p>
      <w:pPr>
        <w:numPr>
          <w:ilvl w:val="2"/>
          <w:numId w:val="900"/>
        </w:numPr>
        <w:spacing w:before="0" w:after="0"/>
      </w:pPr>
      <w:r>
        <w:t>Price Impact Measures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Liquidity Stress Scenarios</w:t>
      </w:r>
    </w:p>
    <w:p>
      <w:pPr>
        <w:numPr>
          <w:ilvl w:val="2"/>
          <w:numId w:val="900"/>
        </w:numPr>
        <w:spacing w:before="0" w:after="0"/>
      </w:pPr>
      <w:r>
        <w:t>Survival Horizons</w:t>
      </w:r>
    </w:p>
    <w:p>
      <w:pPr>
        <w:numPr>
          <w:ilvl w:val="0"/>
          <w:numId w:val="900"/>
        </w:numPr>
        <w:spacing w:before="0" w:after="0"/>
      </w:pPr>
      <w:r>
        <w:t>Managing Liquidity Risk</w:t>
      </w:r>
    </w:p>
    <w:p>
      <w:pPr>
        <w:numPr>
          <w:ilvl w:val="1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Short-Term Forecasting</w:t>
      </w:r>
    </w:p>
    <w:p>
      <w:pPr>
        <w:numPr>
          <w:ilvl w:val="2"/>
          <w:numId w:val="900"/>
        </w:numPr>
        <w:spacing w:before="0" w:after="0"/>
      </w:pPr>
      <w:r>
        <w:t>Long-Term Forecasting</w:t>
      </w:r>
    </w:p>
    <w:p>
      <w:pPr>
        <w:numPr>
          <w:ilvl w:val="2"/>
          <w:numId w:val="900"/>
        </w:numPr>
        <w:spacing w:before="0" w:after="0"/>
      </w:pPr>
      <w:r>
        <w:t>Scenario-Based Forecasting</w:t>
      </w:r>
    </w:p>
    <w:p>
      <w:pPr>
        <w:numPr>
          <w:ilvl w:val="1"/>
          <w:numId w:val="900"/>
        </w:numPr>
        <w:spacing w:before="0" w:after="0"/>
      </w:pPr>
      <w:r>
        <w:t>Maintaining Liquid Asset Buffers</w:t>
      </w:r>
    </w:p>
    <w:p>
      <w:pPr>
        <w:numPr>
          <w:ilvl w:val="2"/>
          <w:numId w:val="900"/>
        </w:numPr>
        <w:spacing w:before="0" w:after="0"/>
      </w:pPr>
      <w:r>
        <w:t>High-Quality Liquid Assets (HQLA)</w:t>
      </w:r>
    </w:p>
    <w:p>
      <w:pPr>
        <w:numPr>
          <w:ilvl w:val="2"/>
          <w:numId w:val="900"/>
        </w:numPr>
        <w:spacing w:before="0" w:after="0"/>
      </w:pPr>
      <w:r>
        <w:t>Liquidity Buffer Sizing</w:t>
      </w:r>
    </w:p>
    <w:p>
      <w:pPr>
        <w:numPr>
          <w:ilvl w:val="1"/>
          <w:numId w:val="900"/>
        </w:numPr>
        <w:spacing w:before="0" w:after="0"/>
      </w:pPr>
      <w:r>
        <w:t>Diversifying Funding Sources</w:t>
      </w:r>
    </w:p>
    <w:p>
      <w:pPr>
        <w:numPr>
          <w:ilvl w:val="2"/>
          <w:numId w:val="900"/>
        </w:numPr>
        <w:spacing w:before="0" w:after="0"/>
      </w:pPr>
      <w:r>
        <w:t>Bank Loans</w:t>
      </w:r>
    </w:p>
    <w:p>
      <w:pPr>
        <w:numPr>
          <w:ilvl w:val="2"/>
          <w:numId w:val="900"/>
        </w:numPr>
        <w:spacing w:before="0" w:after="0"/>
      </w:pPr>
      <w:r>
        <w:t>Capital Markets</w:t>
      </w:r>
    </w:p>
    <w:p>
      <w:pPr>
        <w:numPr>
          <w:ilvl w:val="2"/>
          <w:numId w:val="900"/>
        </w:numPr>
        <w:spacing w:before="0" w:after="0"/>
      </w:pPr>
      <w:r>
        <w:t>Securitization</w:t>
      </w:r>
    </w:p>
    <w:p>
      <w:pPr>
        <w:numPr>
          <w:ilvl w:val="2"/>
          <w:numId w:val="900"/>
        </w:numPr>
        <w:spacing w:before="0" w:after="0"/>
      </w:pPr>
      <w:r>
        <w:t>Retail vs. Wholesale Funding</w:t>
      </w:r>
    </w:p>
    <w:p>
      <w:pPr>
        <w:numPr>
          <w:ilvl w:val="1"/>
          <w:numId w:val="900"/>
        </w:numPr>
        <w:spacing w:before="0" w:after="0"/>
      </w:pPr>
      <w:r>
        <w:t>Contingency Funding Plan (CFP)</w:t>
      </w:r>
    </w:p>
    <w:p>
      <w:pPr>
        <w:numPr>
          <w:ilvl w:val="2"/>
          <w:numId w:val="900"/>
        </w:numPr>
        <w:spacing w:before="0" w:after="0"/>
      </w:pPr>
      <w:r>
        <w:t>Plan Development</w:t>
      </w:r>
    </w:p>
    <w:p>
      <w:pPr>
        <w:numPr>
          <w:ilvl w:val="2"/>
          <w:numId w:val="900"/>
        </w:numPr>
        <w:spacing w:before="0" w:after="0"/>
      </w:pPr>
      <w:r>
        <w:t>Stress Testing CFP</w:t>
      </w:r>
    </w:p>
    <w:p>
      <w:pPr>
        <w:numPr>
          <w:ilvl w:val="2"/>
          <w:numId w:val="900"/>
        </w:numPr>
        <w:spacing w:before="0" w:after="0"/>
      </w:pPr>
      <w:r>
        <w:t>Early Warning Indicators</w:t>
      </w:r>
    </w:p>
    <w:p>
      <w:pPr>
        <w:numPr>
          <w:ilvl w:val="1"/>
          <w:numId w:val="900"/>
        </w:numPr>
        <w:spacing w:before="0" w:after="0"/>
      </w:pPr>
      <w:r>
        <w:t>Access to Central Bank Facilities</w:t>
      </w:r>
    </w:p>
    <w:p>
      <w:pPr>
        <w:numPr>
          <w:ilvl w:val="2"/>
          <w:numId w:val="900"/>
        </w:numPr>
        <w:spacing w:before="0" w:after="0"/>
      </w:pPr>
      <w:r>
        <w:t>Discount Window Lending</w:t>
      </w:r>
    </w:p>
    <w:p>
      <w:pPr>
        <w:numPr>
          <w:ilvl w:val="2"/>
          <w:numId w:val="900"/>
        </w:numPr>
        <w:spacing w:before="0" w:after="0"/>
      </w:pPr>
      <w:r>
        <w:t>Emergency Liquidity Assistance</w:t>
      </w:r>
    </w:p>
    <w:p>
      <w:pPr>
        <w:numPr>
          <w:ilvl w:val="2"/>
          <w:numId w:val="900"/>
        </w:numPr>
        <w:spacing w:before="0" w:after="0"/>
      </w:pPr>
      <w:r>
        <w:t>Collateral Requirements</w:t>
      </w:r>
    </w:p>
    <w:p>
      <w:pPr>
        <w:numPr>
          <w:ilvl w:val="1"/>
          <w:numId w:val="900"/>
        </w:numPr>
        <w:spacing w:before="0" w:after="0"/>
      </w:pPr>
      <w:r>
        <w:t>Liquidity Transfer Pricing</w:t>
      </w:r>
    </w:p>
    <w:p>
      <w:pPr>
        <w:numPr>
          <w:ilvl w:val="2"/>
          <w:numId w:val="900"/>
        </w:numPr>
        <w:spacing w:before="0" w:after="0"/>
      </w:pPr>
      <w:r>
        <w:t>Internal Funding Costs</w:t>
      </w:r>
    </w:p>
    <w:p>
      <w:pPr>
        <w:numPr>
          <w:ilvl w:val="2"/>
          <w:numId w:val="900"/>
        </w:numPr>
        <w:spacing w:before="0" w:after="0"/>
      </w:pPr>
      <w:r>
        <w:t>Liquidity Premiums</w:t>
      </w:r>
    </w:p>
    <w:p>
      <w:pPr>
        <w:pStyle w:val="Heading1"/>
      </w:pPr>
      <w:r>
        <w:t>Operational Risk</w:t>
      </w:r>
    </w:p>
    <w:p>
      <w:pPr>
        <w:numPr>
          <w:ilvl w:val="0"/>
          <w:numId w:val="900"/>
        </w:numPr>
        <w:spacing w:before="0" w:after="0"/>
      </w:pPr>
      <w:r>
        <w:t>Sources of Operational Risk</w:t>
      </w:r>
    </w:p>
    <w:p>
      <w:pPr>
        <w:numPr>
          <w:ilvl w:val="1"/>
          <w:numId w:val="900"/>
        </w:numPr>
        <w:spacing w:before="0" w:after="0"/>
      </w:pPr>
      <w:r>
        <w:t>People Risk</w:t>
      </w:r>
    </w:p>
    <w:p>
      <w:pPr>
        <w:numPr>
          <w:ilvl w:val="2"/>
          <w:numId w:val="900"/>
        </w:numPr>
        <w:spacing w:before="0" w:after="0"/>
      </w:pPr>
      <w:r>
        <w:t>Human Error</w:t>
      </w:r>
    </w:p>
    <w:p>
      <w:pPr>
        <w:numPr>
          <w:ilvl w:val="2"/>
          <w:numId w:val="900"/>
        </w:numPr>
        <w:spacing w:before="0" w:after="0"/>
      </w:pPr>
      <w:r>
        <w:t>Internal Fraud</w:t>
      </w:r>
    </w:p>
    <w:p>
      <w:pPr>
        <w:numPr>
          <w:ilvl w:val="2"/>
          <w:numId w:val="900"/>
        </w:numPr>
        <w:spacing w:before="0" w:after="0"/>
      </w:pPr>
      <w:r>
        <w:t>Staff Turnover</w:t>
      </w:r>
    </w:p>
    <w:p>
      <w:pPr>
        <w:numPr>
          <w:ilvl w:val="2"/>
          <w:numId w:val="900"/>
        </w:numPr>
        <w:spacing w:before="0" w:after="0"/>
      </w:pPr>
      <w:r>
        <w:t>Unauthorized Trading</w:t>
      </w:r>
    </w:p>
    <w:p>
      <w:pPr>
        <w:numPr>
          <w:ilvl w:val="2"/>
          <w:numId w:val="900"/>
        </w:numPr>
        <w:spacing w:before="0" w:after="0"/>
      </w:pPr>
      <w:r>
        <w:t>Key Person Risk</w:t>
      </w:r>
    </w:p>
    <w:p>
      <w:pPr>
        <w:numPr>
          <w:ilvl w:val="1"/>
          <w:numId w:val="900"/>
        </w:numPr>
        <w:spacing w:before="0" w:after="0"/>
      </w:pPr>
      <w:r>
        <w:t>Process Risk</w:t>
      </w:r>
    </w:p>
    <w:p>
      <w:pPr>
        <w:numPr>
          <w:ilvl w:val="2"/>
          <w:numId w:val="900"/>
        </w:numPr>
        <w:spacing w:before="0" w:after="0"/>
      </w:pPr>
      <w:r>
        <w:t>Failed Internal Processes</w:t>
      </w:r>
    </w:p>
    <w:p>
      <w:pPr>
        <w:numPr>
          <w:ilvl w:val="2"/>
          <w:numId w:val="900"/>
        </w:numPr>
        <w:spacing w:before="0" w:after="0"/>
      </w:pPr>
      <w:r>
        <w:t>Inadequate Procedures</w:t>
      </w:r>
    </w:p>
    <w:p>
      <w:pPr>
        <w:numPr>
          <w:ilvl w:val="2"/>
          <w:numId w:val="900"/>
        </w:numPr>
        <w:spacing w:before="0" w:after="0"/>
      </w:pPr>
      <w:r>
        <w:t>Settlement Failures</w:t>
      </w:r>
    </w:p>
    <w:p>
      <w:pPr>
        <w:numPr>
          <w:ilvl w:val="2"/>
          <w:numId w:val="900"/>
        </w:numPr>
        <w:spacing w:before="0" w:after="0"/>
      </w:pPr>
      <w:r>
        <w:t>Documentation Risk</w:t>
      </w:r>
    </w:p>
    <w:p>
      <w:pPr>
        <w:numPr>
          <w:ilvl w:val="1"/>
          <w:numId w:val="900"/>
        </w:numPr>
        <w:spacing w:before="0" w:after="0"/>
      </w:pPr>
      <w:r>
        <w:t>Systems Risk</w:t>
      </w:r>
    </w:p>
    <w:p>
      <w:pPr>
        <w:numPr>
          <w:ilvl w:val="2"/>
          <w:numId w:val="900"/>
        </w:numPr>
        <w:spacing w:before="0" w:after="0"/>
      </w:pPr>
      <w:r>
        <w:t>Technology Failure</w:t>
      </w:r>
    </w:p>
    <w:p>
      <w:pPr>
        <w:numPr>
          <w:ilvl w:val="2"/>
          <w:numId w:val="900"/>
        </w:numPr>
        <w:spacing w:before="0" w:after="0"/>
      </w:pPr>
      <w:r>
        <w:t>Cyber Attacks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System Integration Risk</w:t>
      </w:r>
    </w:p>
    <w:p>
      <w:pPr>
        <w:numPr>
          <w:ilvl w:val="1"/>
          <w:numId w:val="900"/>
        </w:numPr>
        <w:spacing w:before="0" w:after="0"/>
      </w:pPr>
      <w:r>
        <w:t>External Events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Political Instability</w:t>
      </w:r>
    </w:p>
    <w:p>
      <w:pPr>
        <w:numPr>
          <w:ilvl w:val="2"/>
          <w:numId w:val="900"/>
        </w:numPr>
        <w:spacing w:before="0" w:after="0"/>
      </w:pPr>
      <w:r>
        <w:t>External Fraud</w:t>
      </w:r>
    </w:p>
    <w:p>
      <w:pPr>
        <w:numPr>
          <w:ilvl w:val="2"/>
          <w:numId w:val="900"/>
        </w:numPr>
        <w:spacing w:before="0" w:after="0"/>
      </w:pPr>
      <w:r>
        <w:t>Terrorism</w:t>
      </w:r>
    </w:p>
    <w:p>
      <w:pPr>
        <w:numPr>
          <w:ilvl w:val="2"/>
          <w:numId w:val="900"/>
        </w:numPr>
        <w:spacing w:before="0" w:after="0"/>
      </w:pPr>
      <w:r>
        <w:t>Pandemic Risk</w:t>
      </w:r>
    </w:p>
    <w:p>
      <w:pPr>
        <w:numPr>
          <w:ilvl w:val="0"/>
          <w:numId w:val="900"/>
        </w:numPr>
        <w:spacing w:before="0" w:after="0"/>
      </w:pPr>
      <w:r>
        <w:t>Measuring and Managing Operational Risk</w:t>
      </w:r>
    </w:p>
    <w:p>
      <w:pPr>
        <w:numPr>
          <w:ilvl w:val="1"/>
          <w:numId w:val="900"/>
        </w:numPr>
        <w:spacing w:before="0" w:after="0"/>
      </w:pPr>
      <w:r>
        <w:t>Loss Data Collection and Analysis</w:t>
      </w:r>
    </w:p>
    <w:p>
      <w:pPr>
        <w:numPr>
          <w:ilvl w:val="2"/>
          <w:numId w:val="900"/>
        </w:numPr>
        <w:spacing w:before="0" w:after="0"/>
      </w:pPr>
      <w:r>
        <w:t>Internal Loss Data</w:t>
      </w:r>
    </w:p>
    <w:p>
      <w:pPr>
        <w:numPr>
          <w:ilvl w:val="2"/>
          <w:numId w:val="900"/>
        </w:numPr>
        <w:spacing w:before="0" w:after="0"/>
      </w:pPr>
      <w:r>
        <w:t>External Loss Data</w:t>
      </w:r>
    </w:p>
    <w:p>
      <w:pPr>
        <w:numPr>
          <w:ilvl w:val="2"/>
          <w:numId w:val="900"/>
        </w:numPr>
        <w:spacing w:before="0" w:after="0"/>
      </w:pPr>
      <w:r>
        <w:t>Loss Event Categories</w:t>
      </w:r>
    </w:p>
    <w:p>
      <w:pPr>
        <w:numPr>
          <w:ilvl w:val="1"/>
          <w:numId w:val="900"/>
        </w:numPr>
        <w:spacing w:before="0" w:after="0"/>
      </w:pPr>
      <w:r>
        <w:t>Risk and Control Self-Assessment (RCSA)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Control Identification</w:t>
      </w:r>
    </w:p>
    <w:p>
      <w:pPr>
        <w:numPr>
          <w:ilvl w:val="2"/>
          <w:numId w:val="900"/>
        </w:numPr>
        <w:spacing w:before="0" w:after="0"/>
      </w:pPr>
      <w:r>
        <w:t>Control Testing</w:t>
      </w:r>
    </w:p>
    <w:p>
      <w:pPr>
        <w:numPr>
          <w:ilvl w:val="1"/>
          <w:numId w:val="900"/>
        </w:numPr>
        <w:spacing w:before="0" w:after="0"/>
      </w:pPr>
      <w:r>
        <w:t>Key Risk Indicators (KRIs)</w:t>
      </w:r>
    </w:p>
    <w:p>
      <w:pPr>
        <w:numPr>
          <w:ilvl w:val="2"/>
          <w:numId w:val="900"/>
        </w:numPr>
        <w:spacing w:before="0" w:after="0"/>
      </w:pPr>
      <w:r>
        <w:t>Selection and Monitoring</w:t>
      </w:r>
    </w:p>
    <w:p>
      <w:pPr>
        <w:numPr>
          <w:ilvl w:val="2"/>
          <w:numId w:val="900"/>
        </w:numPr>
        <w:spacing w:before="0" w:after="0"/>
      </w:pPr>
      <w:r>
        <w:t>Threshold Setting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Business Continuity Planning (BCP)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1"/>
          <w:numId w:val="900"/>
        </w:numPr>
        <w:spacing w:before="0" w:after="0"/>
      </w:pPr>
      <w:r>
        <w:t>Internal Controls and Audits</w:t>
      </w:r>
    </w:p>
    <w:p>
      <w:pPr>
        <w:numPr>
          <w:ilvl w:val="2"/>
          <w:numId w:val="900"/>
        </w:numPr>
        <w:spacing w:before="0" w:after="0"/>
      </w:pPr>
      <w:r>
        <w:t>Control Design and Implementation</w:t>
      </w:r>
    </w:p>
    <w:p>
      <w:pPr>
        <w:numPr>
          <w:ilvl w:val="2"/>
          <w:numId w:val="900"/>
        </w:numPr>
        <w:spacing w:before="0" w:after="0"/>
      </w:pPr>
      <w:r>
        <w:t>Internal Audit Function</w:t>
      </w:r>
    </w:p>
    <w:p>
      <w:pPr>
        <w:numPr>
          <w:ilvl w:val="2"/>
          <w:numId w:val="900"/>
        </w:numPr>
        <w:spacing w:before="0" w:after="0"/>
      </w:pPr>
      <w:r>
        <w:t>Control Testing</w:t>
      </w:r>
    </w:p>
    <w:p>
      <w:pPr>
        <w:numPr>
          <w:ilvl w:val="1"/>
          <w:numId w:val="900"/>
        </w:numPr>
        <w:spacing w:before="0" w:after="0"/>
      </w:pPr>
      <w:r>
        <w:t>Operational Risk Capital</w:t>
      </w:r>
    </w:p>
    <w:p>
      <w:pPr>
        <w:numPr>
          <w:ilvl w:val="2"/>
          <w:numId w:val="900"/>
        </w:numPr>
        <w:spacing w:before="0" w:after="0"/>
      </w:pPr>
      <w:r>
        <w:t>Basic Indicator Approach</w:t>
      </w:r>
    </w:p>
    <w:p>
      <w:pPr>
        <w:numPr>
          <w:ilvl w:val="2"/>
          <w:numId w:val="900"/>
        </w:numPr>
        <w:spacing w:before="0" w:after="0"/>
      </w:pPr>
      <w:r>
        <w:t>Standardized Approach</w:t>
      </w:r>
    </w:p>
    <w:p>
      <w:pPr>
        <w:numPr>
          <w:ilvl w:val="2"/>
          <w:numId w:val="900"/>
        </w:numPr>
        <w:spacing w:before="0" w:after="0"/>
      </w:pPr>
      <w:r>
        <w:t>Advanced Measurement Approach</w:t>
      </w:r>
    </w:p>
    <w:p>
      <w:pPr>
        <w:numPr>
          <w:ilvl w:val="1"/>
          <w:numId w:val="900"/>
        </w:numPr>
        <w:spacing w:before="0" w:after="0"/>
      </w:pPr>
      <w:r>
        <w:t>Insurance and Risk Transfer</w:t>
      </w:r>
    </w:p>
    <w:p>
      <w:pPr>
        <w:numPr>
          <w:ilvl w:val="2"/>
          <w:numId w:val="900"/>
        </w:numPr>
        <w:spacing w:before="0" w:after="0"/>
      </w:pPr>
      <w:r>
        <w:t>Professional Indemnity Insurance</w:t>
      </w:r>
    </w:p>
    <w:p>
      <w:pPr>
        <w:numPr>
          <w:ilvl w:val="2"/>
          <w:numId w:val="900"/>
        </w:numPr>
        <w:spacing w:before="0" w:after="0"/>
      </w:pPr>
      <w:r>
        <w:t>Cyber Insurance</w:t>
      </w:r>
    </w:p>
    <w:p>
      <w:pPr>
        <w:numPr>
          <w:ilvl w:val="2"/>
          <w:numId w:val="900"/>
        </w:numPr>
        <w:spacing w:before="0" w:after="0"/>
      </w:pPr>
      <w:r>
        <w:t>Directors and Officers Insurance</w:t>
      </w:r>
    </w:p>
    <w:p>
      <w:pPr>
        <w:pStyle w:val="Heading1"/>
      </w:pPr>
      <w:r>
        <w:t>Legal and Regulatory Risk</w:t>
      </w:r>
    </w:p>
    <w:p>
      <w:pPr>
        <w:numPr>
          <w:ilvl w:val="0"/>
          <w:numId w:val="900"/>
        </w:numPr>
        <w:spacing w:before="0" w:after="0"/>
      </w:pPr>
      <w:r>
        <w:t>Sources of Legal Risk</w:t>
      </w:r>
    </w:p>
    <w:p>
      <w:pPr>
        <w:numPr>
          <w:ilvl w:val="1"/>
          <w:numId w:val="900"/>
        </w:numPr>
        <w:spacing w:before="0" w:after="0"/>
      </w:pPr>
      <w:r>
        <w:t>Contractual Risk</w:t>
      </w:r>
    </w:p>
    <w:p>
      <w:pPr>
        <w:numPr>
          <w:ilvl w:val="2"/>
          <w:numId w:val="900"/>
        </w:numPr>
        <w:spacing w:before="0" w:after="0"/>
      </w:pPr>
      <w:r>
        <w:t>Contract Interpretation</w:t>
      </w:r>
    </w:p>
    <w:p>
      <w:pPr>
        <w:numPr>
          <w:ilvl w:val="2"/>
          <w:numId w:val="900"/>
        </w:numPr>
        <w:spacing w:before="0" w:after="0"/>
      </w:pPr>
      <w:r>
        <w:t>Enforceability Issues</w:t>
      </w:r>
    </w:p>
    <w:p>
      <w:pPr>
        <w:numPr>
          <w:ilvl w:val="1"/>
          <w:numId w:val="900"/>
        </w:numPr>
        <w:spacing w:before="0" w:after="0"/>
      </w:pPr>
      <w:r>
        <w:t>Litigation Risk</w:t>
      </w:r>
    </w:p>
    <w:p>
      <w:pPr>
        <w:numPr>
          <w:ilvl w:val="2"/>
          <w:numId w:val="900"/>
        </w:numPr>
        <w:spacing w:before="0" w:after="0"/>
      </w:pPr>
      <w:r>
        <w:t>Civil Litigation</w:t>
      </w:r>
    </w:p>
    <w:p>
      <w:pPr>
        <w:numPr>
          <w:ilvl w:val="2"/>
          <w:numId w:val="900"/>
        </w:numPr>
        <w:spacing w:before="0" w:after="0"/>
      </w:pPr>
      <w:r>
        <w:t>Regulatory Enforcement</w:t>
      </w:r>
    </w:p>
    <w:p>
      <w:pPr>
        <w:numPr>
          <w:ilvl w:val="1"/>
          <w:numId w:val="900"/>
        </w:numPr>
        <w:spacing w:before="0" w:after="0"/>
      </w:pPr>
      <w:r>
        <w:t>Regulatory Compliance Risk</w:t>
      </w:r>
    </w:p>
    <w:p>
      <w:pPr>
        <w:numPr>
          <w:ilvl w:val="2"/>
          <w:numId w:val="900"/>
        </w:numPr>
        <w:spacing w:before="0" w:after="0"/>
      </w:pPr>
      <w:r>
        <w:t>Changing Regulations</w:t>
      </w:r>
    </w:p>
    <w:p>
      <w:pPr>
        <w:numPr>
          <w:ilvl w:val="2"/>
          <w:numId w:val="900"/>
        </w:numPr>
        <w:spacing w:before="0" w:after="0"/>
      </w:pPr>
      <w:r>
        <w:t>Interpretation Risk</w:t>
      </w:r>
    </w:p>
    <w:p>
      <w:pPr>
        <w:numPr>
          <w:ilvl w:val="1"/>
          <w:numId w:val="900"/>
        </w:numPr>
        <w:spacing w:before="0" w:after="0"/>
      </w:pPr>
      <w:r>
        <w:t>Documentation Risk</w:t>
      </w:r>
    </w:p>
    <w:p>
      <w:pPr>
        <w:numPr>
          <w:ilvl w:val="2"/>
          <w:numId w:val="900"/>
        </w:numPr>
        <w:spacing w:before="0" w:after="0"/>
      </w:pPr>
      <w:r>
        <w:t>Inadequate Documentation</w:t>
      </w:r>
    </w:p>
    <w:p>
      <w:pPr>
        <w:numPr>
          <w:ilvl w:val="2"/>
          <w:numId w:val="900"/>
        </w:numPr>
        <w:spacing w:before="0" w:after="0"/>
      </w:pPr>
      <w:r>
        <w:t>Missing Legal Opinions</w:t>
      </w:r>
    </w:p>
    <w:p>
      <w:pPr>
        <w:numPr>
          <w:ilvl w:val="0"/>
          <w:numId w:val="900"/>
        </w:numPr>
        <w:spacing w:before="0" w:after="0"/>
      </w:pPr>
      <w:r>
        <w:t>Managing Legal and Regulatory Risk</w:t>
      </w:r>
    </w:p>
    <w:p>
      <w:pPr>
        <w:numPr>
          <w:ilvl w:val="1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Contract Review</w:t>
      </w:r>
    </w:p>
    <w:p>
      <w:pPr>
        <w:numPr>
          <w:ilvl w:val="2"/>
          <w:numId w:val="900"/>
        </w:numPr>
        <w:spacing w:before="0" w:after="0"/>
      </w:pPr>
      <w:r>
        <w:t>Legal Opinion Requirements</w:t>
      </w:r>
    </w:p>
    <w:p>
      <w:pPr>
        <w:numPr>
          <w:ilvl w:val="1"/>
          <w:numId w:val="900"/>
        </w:numPr>
        <w:spacing w:before="0" w:after="0"/>
      </w:pPr>
      <w:r>
        <w:t>Compliance Programs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Monitoring Regulatory Changes</w:t>
      </w:r>
    </w:p>
    <w:p>
      <w:pPr>
        <w:numPr>
          <w:ilvl w:val="2"/>
          <w:numId w:val="900"/>
        </w:numPr>
        <w:spacing w:before="0" w:after="0"/>
      </w:pPr>
      <w:r>
        <w:t>Regulatory Intelligence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Engaging Legal Counsel</w:t>
      </w:r>
    </w:p>
    <w:p>
      <w:pPr>
        <w:numPr>
          <w:ilvl w:val="2"/>
          <w:numId w:val="900"/>
        </w:numPr>
        <w:spacing w:before="0" w:after="0"/>
      </w:pPr>
      <w:r>
        <w:t>Internal Legal Teams</w:t>
      </w:r>
    </w:p>
    <w:p>
      <w:pPr>
        <w:numPr>
          <w:ilvl w:val="2"/>
          <w:numId w:val="900"/>
        </w:numPr>
        <w:spacing w:before="0" w:after="0"/>
      </w:pPr>
      <w:r>
        <w:t>External Legal Advisors</w:t>
      </w:r>
    </w:p>
    <w:p>
      <w:pPr>
        <w:pStyle w:val="Heading1"/>
      </w:pPr>
      <w:r>
        <w:t>Reputational Risk</w:t>
      </w:r>
    </w:p>
    <w:p>
      <w:pPr>
        <w:numPr>
          <w:ilvl w:val="0"/>
          <w:numId w:val="900"/>
        </w:numPr>
        <w:spacing w:before="0" w:after="0"/>
      </w:pPr>
      <w:r>
        <w:t>Sources of Reputational Risk</w:t>
      </w:r>
    </w:p>
    <w:p>
      <w:pPr>
        <w:numPr>
          <w:ilvl w:val="1"/>
          <w:numId w:val="900"/>
        </w:numPr>
        <w:spacing w:before="0" w:after="0"/>
      </w:pPr>
      <w:r>
        <w:t>Negative Publicity</w:t>
      </w:r>
    </w:p>
    <w:p>
      <w:pPr>
        <w:numPr>
          <w:ilvl w:val="1"/>
          <w:numId w:val="900"/>
        </w:numPr>
        <w:spacing w:before="0" w:after="0"/>
      </w:pPr>
      <w:r>
        <w:t>Customer Complaints</w:t>
      </w:r>
    </w:p>
    <w:p>
      <w:pPr>
        <w:numPr>
          <w:ilvl w:val="1"/>
          <w:numId w:val="900"/>
        </w:numPr>
        <w:spacing w:before="0" w:after="0"/>
      </w:pPr>
      <w:r>
        <w:t>Regulatory Actions</w:t>
      </w:r>
    </w:p>
    <w:p>
      <w:pPr>
        <w:numPr>
          <w:ilvl w:val="1"/>
          <w:numId w:val="900"/>
        </w:numPr>
        <w:spacing w:before="0" w:after="0"/>
      </w:pPr>
      <w:r>
        <w:t>Social Media Risk</w:t>
      </w:r>
    </w:p>
    <w:p>
      <w:pPr>
        <w:numPr>
          <w:ilvl w:val="1"/>
          <w:numId w:val="900"/>
        </w:numPr>
        <w:spacing w:before="0" w:after="0"/>
      </w:pPr>
      <w:r>
        <w:t>Environmental and Social Issues</w:t>
      </w:r>
    </w:p>
    <w:p>
      <w:pPr>
        <w:numPr>
          <w:ilvl w:val="0"/>
          <w:numId w:val="900"/>
        </w:numPr>
        <w:spacing w:before="0" w:after="0"/>
      </w:pPr>
      <w:r>
        <w:t>Managing Reputational Risk</w:t>
      </w:r>
    </w:p>
    <w:p>
      <w:pPr>
        <w:numPr>
          <w:ilvl w:val="1"/>
          <w:numId w:val="900"/>
        </w:numPr>
        <w:spacing w:before="0" w:after="0"/>
      </w:pPr>
      <w:r>
        <w:t>Crisis Communication Planning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Brand Management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Social Media Monitoring</w:t>
      </w:r>
    </w:p>
    <w:p>
      <w:pPr>
        <w:pStyle w:val="Heading1"/>
      </w:pPr>
      <w:r>
        <w:t>Strategic Risk</w:t>
      </w:r>
    </w:p>
    <w:p>
      <w:pPr>
        <w:numPr>
          <w:ilvl w:val="0"/>
          <w:numId w:val="900"/>
        </w:numPr>
        <w:spacing w:before="0" w:after="0"/>
      </w:pPr>
      <w:r>
        <w:t>Sources of Strategic Risk</w:t>
      </w:r>
    </w:p>
    <w:p>
      <w:pPr>
        <w:numPr>
          <w:ilvl w:val="1"/>
          <w:numId w:val="900"/>
        </w:numPr>
        <w:spacing w:before="0" w:after="0"/>
      </w:pPr>
      <w:r>
        <w:t>Poor Business Decisions</w:t>
      </w:r>
    </w:p>
    <w:p>
      <w:pPr>
        <w:numPr>
          <w:ilvl w:val="1"/>
          <w:numId w:val="900"/>
        </w:numPr>
        <w:spacing w:before="0" w:after="0"/>
      </w:pPr>
      <w:r>
        <w:t>Market Entry/Exit</w:t>
      </w:r>
    </w:p>
    <w:p>
      <w:pPr>
        <w:numPr>
          <w:ilvl w:val="1"/>
          <w:numId w:val="900"/>
        </w:numPr>
        <w:spacing w:before="0" w:after="0"/>
      </w:pPr>
      <w:r>
        <w:t>Mergers and Acquisitions</w:t>
      </w:r>
    </w:p>
    <w:p>
      <w:pPr>
        <w:numPr>
          <w:ilvl w:val="1"/>
          <w:numId w:val="900"/>
        </w:numPr>
        <w:spacing w:before="0" w:after="0"/>
      </w:pPr>
      <w:r>
        <w:t>Technology Disruption</w:t>
      </w:r>
    </w:p>
    <w:p>
      <w:pPr>
        <w:numPr>
          <w:ilvl w:val="1"/>
          <w:numId w:val="900"/>
        </w:numPr>
        <w:spacing w:before="0" w:after="0"/>
      </w:pPr>
      <w:r>
        <w:t>Competitive Threats</w:t>
      </w:r>
    </w:p>
    <w:p>
      <w:pPr>
        <w:numPr>
          <w:ilvl w:val="0"/>
          <w:numId w:val="900"/>
        </w:numPr>
        <w:spacing w:before="0" w:after="0"/>
      </w:pPr>
      <w:r>
        <w:t>Managing Strategic Risk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Board Oversight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pStyle w:val="Heading1"/>
      </w:pPr>
      <w:r>
        <w:t>Systemic Risk</w:t>
      </w:r>
    </w:p>
    <w:p>
      <w:pPr>
        <w:numPr>
          <w:ilvl w:val="0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Too Big to Fail</w:t>
      </w:r>
    </w:p>
    <w:p>
      <w:pPr>
        <w:numPr>
          <w:ilvl w:val="1"/>
          <w:numId w:val="900"/>
        </w:numPr>
        <w:spacing w:before="0" w:after="0"/>
      </w:pPr>
      <w:r>
        <w:t>Too Connected to Fail</w:t>
      </w:r>
    </w:p>
    <w:p>
      <w:pPr>
        <w:numPr>
          <w:ilvl w:val="1"/>
          <w:numId w:val="900"/>
        </w:numPr>
        <w:spacing w:before="0" w:after="0"/>
      </w:pPr>
      <w:r>
        <w:t>Too Important to Fail</w:t>
      </w:r>
    </w:p>
    <w:p>
      <w:pPr>
        <w:numPr>
          <w:ilvl w:val="0"/>
          <w:numId w:val="900"/>
        </w:numPr>
        <w:spacing w:before="0" w:after="0"/>
      </w:pPr>
      <w:r>
        <w:t>Sources of Systemic Risk</w:t>
      </w:r>
    </w:p>
    <w:p>
      <w:pPr>
        <w:numPr>
          <w:ilvl w:val="1"/>
          <w:numId w:val="900"/>
        </w:numPr>
        <w:spacing w:before="0" w:after="0"/>
      </w:pPr>
      <w:r>
        <w:t>Interconnectedness of Institutions</w:t>
      </w:r>
    </w:p>
    <w:p>
      <w:pPr>
        <w:numPr>
          <w:ilvl w:val="1"/>
          <w:numId w:val="900"/>
        </w:numPr>
        <w:spacing w:before="0" w:after="0"/>
      </w:pPr>
      <w:r>
        <w:t>Contagion Effects</w:t>
      </w:r>
    </w:p>
    <w:p>
      <w:pPr>
        <w:numPr>
          <w:ilvl w:val="1"/>
          <w:numId w:val="900"/>
        </w:numPr>
        <w:spacing w:before="0" w:after="0"/>
      </w:pPr>
      <w:r>
        <w:t>Procyclicality</w:t>
      </w:r>
    </w:p>
    <w:p>
      <w:pPr>
        <w:numPr>
          <w:ilvl w:val="1"/>
          <w:numId w:val="900"/>
        </w:numPr>
        <w:spacing w:before="0" w:after="0"/>
      </w:pPr>
      <w:r>
        <w:t>Common Exposures</w:t>
      </w:r>
    </w:p>
    <w:p>
      <w:pPr>
        <w:numPr>
          <w:ilvl w:val="0"/>
          <w:numId w:val="900"/>
        </w:numPr>
        <w:spacing w:before="0" w:after="0"/>
      </w:pPr>
      <w:r>
        <w:t>Measuring Systemic Risk</w:t>
      </w:r>
    </w:p>
    <w:p>
      <w:pPr>
        <w:numPr>
          <w:ilvl w:val="1"/>
          <w:numId w:val="900"/>
        </w:numPr>
        <w:spacing w:before="0" w:after="0"/>
      </w:pPr>
      <w:r>
        <w:t>Systemic Risk Indicators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Managing Systemic Risk</w:t>
      </w:r>
    </w:p>
    <w:p>
      <w:pPr>
        <w:numPr>
          <w:ilvl w:val="1"/>
          <w:numId w:val="900"/>
        </w:numPr>
        <w:spacing w:before="0" w:after="0"/>
      </w:pPr>
      <w:r>
        <w:t>Macroprudential Regulation</w:t>
      </w:r>
    </w:p>
    <w:p>
      <w:pPr>
        <w:numPr>
          <w:ilvl w:val="1"/>
          <w:numId w:val="900"/>
        </w:numPr>
        <w:spacing w:before="0" w:after="0"/>
      </w:pPr>
      <w:r>
        <w:t>Systemic Risk Buffers</w:t>
      </w:r>
    </w:p>
    <w:p>
      <w:pPr>
        <w:numPr>
          <w:ilvl w:val="1"/>
          <w:numId w:val="900"/>
        </w:numPr>
        <w:spacing w:before="0" w:after="0"/>
      </w:pPr>
      <w:r>
        <w:t>Resolution Frameworks</w:t>
      </w:r>
    </w:p>
    <w:p>
      <w:pPr>
        <w:numPr>
          <w:ilvl w:val="1"/>
          <w:numId w:val="900"/>
        </w:numPr>
        <w:spacing w:before="0" w:after="0"/>
      </w:pPr>
      <w:r>
        <w:t>Central Counterparty Clearing</w:t>
      </w:r>
    </w:p>
    <w:p>
      <w:pPr>
        <w:pStyle w:val="Heading1"/>
      </w:pPr>
      <w:r>
        <w:t>The Regulatory Framework for Financial Risk</w:t>
      </w:r>
    </w:p>
    <w:p>
      <w:pPr>
        <w:numPr>
          <w:ilvl w:val="0"/>
          <w:numId w:val="900"/>
        </w:numPr>
        <w:spacing w:before="0" w:after="0"/>
      </w:pPr>
      <w:r>
        <w:t>The Basel Accords</w:t>
      </w:r>
    </w:p>
    <w:p>
      <w:pPr>
        <w:numPr>
          <w:ilvl w:val="1"/>
          <w:numId w:val="900"/>
        </w:numPr>
        <w:spacing w:before="0" w:after="0"/>
      </w:pPr>
      <w:r>
        <w:t>Basel I</w:t>
      </w:r>
    </w:p>
    <w:p>
      <w:pPr>
        <w:numPr>
          <w:ilvl w:val="2"/>
          <w:numId w:val="900"/>
        </w:numPr>
        <w:spacing w:before="0" w:after="0"/>
      </w:pPr>
      <w:r>
        <w:t>Capital Adequacy Standards</w:t>
      </w:r>
    </w:p>
    <w:p>
      <w:pPr>
        <w:numPr>
          <w:ilvl w:val="2"/>
          <w:numId w:val="900"/>
        </w:numPr>
        <w:spacing w:before="0" w:after="0"/>
      </w:pPr>
      <w:r>
        <w:t>Risk-Weighted Assets</w:t>
      </w:r>
    </w:p>
    <w:p>
      <w:pPr>
        <w:numPr>
          <w:ilvl w:val="1"/>
          <w:numId w:val="900"/>
        </w:numPr>
        <w:spacing w:before="0" w:after="0"/>
      </w:pPr>
      <w:r>
        <w:t>Basel II</w:t>
      </w:r>
    </w:p>
    <w:p>
      <w:pPr>
        <w:numPr>
          <w:ilvl w:val="2"/>
          <w:numId w:val="900"/>
        </w:numPr>
        <w:spacing w:before="0" w:after="0"/>
      </w:pPr>
      <w:r>
        <w:t>The Three Pillars</w:t>
      </w:r>
    </w:p>
    <w:p>
      <w:pPr>
        <w:numPr>
          <w:ilvl w:val="3"/>
          <w:numId w:val="900"/>
        </w:numPr>
        <w:spacing w:before="0" w:after="0"/>
      </w:pPr>
      <w:r>
        <w:t>Minimum Capital Requirements</w:t>
      </w:r>
    </w:p>
    <w:p>
      <w:pPr>
        <w:numPr>
          <w:ilvl w:val="3"/>
          <w:numId w:val="900"/>
        </w:numPr>
        <w:spacing w:before="0" w:after="0"/>
      </w:pPr>
      <w:r>
        <w:t>Supervisory Review Process</w:t>
      </w:r>
    </w:p>
    <w:p>
      <w:pPr>
        <w:numPr>
          <w:ilvl w:val="3"/>
          <w:numId w:val="900"/>
        </w:numPr>
        <w:spacing w:before="0" w:after="0"/>
      </w:pPr>
      <w:r>
        <w:t>Market Discipline</w:t>
      </w:r>
    </w:p>
    <w:p>
      <w:pPr>
        <w:numPr>
          <w:ilvl w:val="2"/>
          <w:numId w:val="900"/>
        </w:numPr>
        <w:spacing w:before="0" w:after="0"/>
      </w:pPr>
      <w:r>
        <w:t>Risk-Weighted Assets</w:t>
      </w:r>
    </w:p>
    <w:p>
      <w:pPr>
        <w:numPr>
          <w:ilvl w:val="2"/>
          <w:numId w:val="900"/>
        </w:numPr>
        <w:spacing w:before="0" w:after="0"/>
      </w:pPr>
      <w:r>
        <w:t>Internal Ratings-Based Approach</w:t>
      </w:r>
    </w:p>
    <w:p>
      <w:pPr>
        <w:numPr>
          <w:ilvl w:val="1"/>
          <w:numId w:val="900"/>
        </w:numPr>
        <w:spacing w:before="0" w:after="0"/>
      </w:pPr>
      <w:r>
        <w:t>Basel III</w:t>
      </w:r>
    </w:p>
    <w:p>
      <w:pPr>
        <w:numPr>
          <w:ilvl w:val="2"/>
          <w:numId w:val="900"/>
        </w:numPr>
        <w:spacing w:before="0" w:after="0"/>
      </w:pPr>
      <w:r>
        <w:t>Enhanced Capital Requirements</w:t>
      </w:r>
    </w:p>
    <w:p>
      <w:pPr>
        <w:numPr>
          <w:ilvl w:val="2"/>
          <w:numId w:val="900"/>
        </w:numPr>
        <w:spacing w:before="0" w:after="0"/>
      </w:pPr>
      <w:r>
        <w:t>Capital Conservation Buffer</w:t>
      </w:r>
    </w:p>
    <w:p>
      <w:pPr>
        <w:numPr>
          <w:ilvl w:val="2"/>
          <w:numId w:val="900"/>
        </w:numPr>
        <w:spacing w:before="0" w:after="0"/>
      </w:pPr>
      <w:r>
        <w:t>Countercyclical Capital Buffer</w:t>
      </w:r>
    </w:p>
    <w:p>
      <w:pPr>
        <w:numPr>
          <w:ilvl w:val="2"/>
          <w:numId w:val="900"/>
        </w:numPr>
        <w:spacing w:before="0" w:after="0"/>
      </w:pPr>
      <w:r>
        <w:t>New Liquidity Standards</w:t>
      </w:r>
    </w:p>
    <w:p>
      <w:pPr>
        <w:numPr>
          <w:ilvl w:val="3"/>
          <w:numId w:val="900"/>
        </w:numPr>
        <w:spacing w:before="0" w:after="0"/>
      </w:pPr>
      <w:r>
        <w:t>Liquidity Coverage Ratio (LCR)</w:t>
      </w:r>
    </w:p>
    <w:p>
      <w:pPr>
        <w:numPr>
          <w:ilvl w:val="3"/>
          <w:numId w:val="900"/>
        </w:numPr>
        <w:spacing w:before="0" w:after="0"/>
      </w:pPr>
      <w:r>
        <w:t>Net Stable Funding Ratio (NSFR)</w:t>
      </w:r>
    </w:p>
    <w:p>
      <w:pPr>
        <w:numPr>
          <w:ilvl w:val="2"/>
          <w:numId w:val="900"/>
        </w:numPr>
        <w:spacing w:before="0" w:after="0"/>
      </w:pPr>
      <w:r>
        <w:t>Leverage Ratio</w:t>
      </w:r>
    </w:p>
    <w:p>
      <w:pPr>
        <w:numPr>
          <w:ilvl w:val="2"/>
          <w:numId w:val="900"/>
        </w:numPr>
        <w:spacing w:before="0" w:after="0"/>
      </w:pPr>
      <w:r>
        <w:t>Systemically Important Financial Institutions (SIFIs)</w:t>
      </w:r>
    </w:p>
    <w:p>
      <w:pPr>
        <w:numPr>
          <w:ilvl w:val="1"/>
          <w:numId w:val="900"/>
        </w:numPr>
        <w:spacing w:before="0" w:after="0"/>
      </w:pPr>
      <w:r>
        <w:t>Basel IV (Finalization of Basel III)</w:t>
      </w:r>
    </w:p>
    <w:p>
      <w:pPr>
        <w:numPr>
          <w:ilvl w:val="2"/>
          <w:numId w:val="900"/>
        </w:numPr>
        <w:spacing w:before="0" w:after="0"/>
      </w:pPr>
      <w:r>
        <w:t>Standardized Approaches</w:t>
      </w:r>
    </w:p>
    <w:p>
      <w:pPr>
        <w:numPr>
          <w:ilvl w:val="2"/>
          <w:numId w:val="900"/>
        </w:numPr>
        <w:spacing w:before="0" w:after="0"/>
      </w:pPr>
      <w:r>
        <w:t>Output Floor</w:t>
      </w:r>
    </w:p>
    <w:p>
      <w:pPr>
        <w:numPr>
          <w:ilvl w:val="2"/>
          <w:numId w:val="900"/>
        </w:numPr>
        <w:spacing w:before="0" w:after="0"/>
      </w:pPr>
      <w:r>
        <w:t>Operational Risk Framework</w:t>
      </w:r>
    </w:p>
    <w:p>
      <w:pPr>
        <w:numPr>
          <w:ilvl w:val="0"/>
          <w:numId w:val="900"/>
        </w:numPr>
        <w:spacing w:before="0" w:after="0"/>
      </w:pPr>
      <w:r>
        <w:t>National and Regional Regulations</w:t>
      </w:r>
    </w:p>
    <w:p>
      <w:pPr>
        <w:numPr>
          <w:ilvl w:val="1"/>
          <w:numId w:val="900"/>
        </w:numPr>
        <w:spacing w:before="0" w:after="0"/>
      </w:pPr>
      <w:r>
        <w:t>The Dodd-Frank Act (USA)</w:t>
      </w:r>
    </w:p>
    <w:p>
      <w:pPr>
        <w:numPr>
          <w:ilvl w:val="2"/>
          <w:numId w:val="900"/>
        </w:numPr>
        <w:spacing w:before="0" w:after="0"/>
      </w:pPr>
      <w:r>
        <w:t>Volcker Rule</w:t>
      </w:r>
    </w:p>
    <w:p>
      <w:pPr>
        <w:numPr>
          <w:ilvl w:val="2"/>
          <w:numId w:val="900"/>
        </w:numPr>
        <w:spacing w:before="0" w:after="0"/>
      </w:pPr>
      <w:r>
        <w:t>Stress Testing Requirements</w:t>
      </w:r>
    </w:p>
    <w:p>
      <w:pPr>
        <w:numPr>
          <w:ilvl w:val="2"/>
          <w:numId w:val="900"/>
        </w:numPr>
        <w:spacing w:before="0" w:after="0"/>
      </w:pPr>
      <w:r>
        <w:t>Derivatives Regulation</w:t>
      </w:r>
    </w:p>
    <w:p>
      <w:pPr>
        <w:numPr>
          <w:ilvl w:val="2"/>
          <w:numId w:val="900"/>
        </w:numPr>
        <w:spacing w:before="0" w:after="0"/>
      </w:pPr>
      <w:r>
        <w:t>Resolution Planning</w:t>
      </w:r>
    </w:p>
    <w:p>
      <w:pPr>
        <w:numPr>
          <w:ilvl w:val="1"/>
          <w:numId w:val="900"/>
        </w:numPr>
        <w:spacing w:before="0" w:after="0"/>
      </w:pPr>
      <w:r>
        <w:t>European Market Infrastructure Regulation (EMIR)</w:t>
      </w:r>
    </w:p>
    <w:p>
      <w:pPr>
        <w:numPr>
          <w:ilvl w:val="2"/>
          <w:numId w:val="900"/>
        </w:numPr>
        <w:spacing w:before="0" w:after="0"/>
      </w:pPr>
      <w:r>
        <w:t>Central Clearing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Markets in Financial Instruments Directive (MiFID II)</w:t>
      </w:r>
    </w:p>
    <w:p>
      <w:pPr>
        <w:numPr>
          <w:ilvl w:val="2"/>
          <w:numId w:val="900"/>
        </w:numPr>
        <w:spacing w:before="0" w:after="0"/>
      </w:pPr>
      <w:r>
        <w:t>Investor Protection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1"/>
          <w:numId w:val="900"/>
        </w:numPr>
        <w:spacing w:before="0" w:after="0"/>
      </w:pPr>
      <w:r>
        <w:t>Solvency II (Insurance)</w:t>
      </w:r>
    </w:p>
    <w:p>
      <w:pPr>
        <w:numPr>
          <w:ilvl w:val="2"/>
          <w:numId w:val="900"/>
        </w:numPr>
        <w:spacing w:before="0" w:after="0"/>
      </w:pPr>
      <w:r>
        <w:t>Risk-Based Capital Requirements</w:t>
      </w:r>
    </w:p>
    <w:p>
      <w:pPr>
        <w:numPr>
          <w:ilvl w:val="2"/>
          <w:numId w:val="900"/>
        </w:numPr>
        <w:spacing w:before="0" w:after="0"/>
      </w:pPr>
      <w:r>
        <w:t>Own Risk and Solvency Assessment</w:t>
      </w:r>
    </w:p>
    <w:p>
      <w:pPr>
        <w:numPr>
          <w:ilvl w:val="0"/>
          <w:numId w:val="900"/>
        </w:numPr>
        <w:spacing w:before="0" w:after="0"/>
      </w:pPr>
      <w:r>
        <w:t>Role of Regulatory Bodies</w:t>
      </w:r>
    </w:p>
    <w:p>
      <w:pPr>
        <w:numPr>
          <w:ilvl w:val="1"/>
          <w:numId w:val="900"/>
        </w:numPr>
        <w:spacing w:before="0" w:after="0"/>
      </w:pPr>
      <w:r>
        <w:t>Central Banks</w:t>
      </w:r>
    </w:p>
    <w:p>
      <w:pPr>
        <w:numPr>
          <w:ilvl w:val="2"/>
          <w:numId w:val="900"/>
        </w:numPr>
        <w:spacing w:before="0" w:after="0"/>
      </w:pPr>
      <w:r>
        <w:t>Monetary Policy and Financial Stability</w:t>
      </w:r>
    </w:p>
    <w:p>
      <w:pPr>
        <w:numPr>
          <w:ilvl w:val="2"/>
          <w:numId w:val="900"/>
        </w:numPr>
        <w:spacing w:before="0" w:after="0"/>
      </w:pPr>
      <w:r>
        <w:t>Lender of Last Resort</w:t>
      </w:r>
    </w:p>
    <w:p>
      <w:pPr>
        <w:numPr>
          <w:ilvl w:val="1"/>
          <w:numId w:val="900"/>
        </w:numPr>
        <w:spacing w:before="0" w:after="0"/>
      </w:pPr>
      <w:r>
        <w:t>Securities and Exchange Commissions</w:t>
      </w:r>
    </w:p>
    <w:p>
      <w:pPr>
        <w:numPr>
          <w:ilvl w:val="2"/>
          <w:numId w:val="900"/>
        </w:numPr>
        <w:spacing w:before="0" w:after="0"/>
      </w:pPr>
      <w:r>
        <w:t>Market Oversight</w:t>
      </w:r>
    </w:p>
    <w:p>
      <w:pPr>
        <w:numPr>
          <w:ilvl w:val="2"/>
          <w:numId w:val="900"/>
        </w:numPr>
        <w:spacing w:before="0" w:after="0"/>
      </w:pPr>
      <w:r>
        <w:t>Investor Protection</w:t>
      </w:r>
    </w:p>
    <w:p>
      <w:pPr>
        <w:numPr>
          <w:ilvl w:val="1"/>
          <w:numId w:val="900"/>
        </w:numPr>
        <w:spacing w:before="0" w:after="0"/>
      </w:pPr>
      <w:r>
        <w:t>Prudential Regulation Authorities</w:t>
      </w:r>
    </w:p>
    <w:p>
      <w:pPr>
        <w:numPr>
          <w:ilvl w:val="2"/>
          <w:numId w:val="900"/>
        </w:numPr>
        <w:spacing w:before="0" w:after="0"/>
      </w:pPr>
      <w:r>
        <w:t>Supervision of Financial Institutions</w:t>
      </w:r>
    </w:p>
    <w:p>
      <w:pPr>
        <w:numPr>
          <w:ilvl w:val="2"/>
          <w:numId w:val="900"/>
        </w:numPr>
        <w:spacing w:before="0" w:after="0"/>
      </w:pPr>
      <w:r>
        <w:t>Macroprudential Policy</w:t>
      </w:r>
    </w:p>
    <w:p>
      <w:pPr>
        <w:pStyle w:val="Heading1"/>
      </w:pPr>
      <w:r>
        <w:t>Enterprise Risk Management (ERM)</w:t>
      </w:r>
    </w:p>
    <w:p>
      <w:pPr>
        <w:numPr>
          <w:ilvl w:val="0"/>
          <w:numId w:val="900"/>
        </w:numPr>
        <w:spacing w:before="0" w:after="0"/>
      </w:pPr>
      <w:r>
        <w:t>The ERM Framework</w:t>
      </w:r>
    </w:p>
    <w:p>
      <w:pPr>
        <w:numPr>
          <w:ilvl w:val="1"/>
          <w:numId w:val="900"/>
        </w:numPr>
        <w:spacing w:before="0" w:after="0"/>
      </w:pPr>
      <w:r>
        <w:t>COSO ERM Framework</w:t>
      </w:r>
    </w:p>
    <w:p>
      <w:pPr>
        <w:numPr>
          <w:ilvl w:val="2"/>
          <w:numId w:val="900"/>
        </w:numPr>
        <w:spacing w:before="0" w:after="0"/>
      </w:pPr>
      <w:r>
        <w:t>Strategy and Objective-Setting</w:t>
      </w:r>
    </w:p>
    <w:p>
      <w:pPr>
        <w:numPr>
          <w:ilvl w:val="2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Review and Revision</w:t>
      </w:r>
    </w:p>
    <w:p>
      <w:pPr>
        <w:numPr>
          <w:ilvl w:val="2"/>
          <w:numId w:val="900"/>
        </w:numPr>
        <w:spacing w:before="0" w:after="0"/>
      </w:pPr>
      <w:r>
        <w:t>Information and Communication</w:t>
      </w:r>
    </w:p>
    <w:p>
      <w:pPr>
        <w:numPr>
          <w:ilvl w:val="2"/>
          <w:numId w:val="900"/>
        </w:numPr>
        <w:spacing w:before="0" w:after="0"/>
      </w:pPr>
      <w:r>
        <w:t>Governance and Culture</w:t>
      </w:r>
    </w:p>
    <w:p>
      <w:pPr>
        <w:numPr>
          <w:ilvl w:val="1"/>
          <w:numId w:val="900"/>
        </w:numPr>
        <w:spacing w:before="0" w:after="0"/>
      </w:pPr>
      <w:r>
        <w:t>ISO 31000</w:t>
      </w:r>
    </w:p>
    <w:p>
      <w:pPr>
        <w:numPr>
          <w:ilvl w:val="2"/>
          <w:numId w:val="900"/>
        </w:numPr>
        <w:spacing w:before="0" w:after="0"/>
      </w:pPr>
      <w:r>
        <w:t>Risk Management Principles</w:t>
      </w:r>
    </w:p>
    <w:p>
      <w:pPr>
        <w:numPr>
          <w:ilvl w:val="2"/>
          <w:numId w:val="900"/>
        </w:numPr>
        <w:spacing w:before="0" w:after="0"/>
      </w:pPr>
      <w:r>
        <w:t>Risk Management Framework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0"/>
          <w:numId w:val="900"/>
        </w:numPr>
        <w:spacing w:before="0" w:after="0"/>
      </w:pPr>
      <w:r>
        <w:t>Integrating Risk Management Across the Organization</w:t>
      </w:r>
    </w:p>
    <w:p>
      <w:pPr>
        <w:numPr>
          <w:ilvl w:val="1"/>
          <w:numId w:val="900"/>
        </w:numPr>
        <w:spacing w:before="0" w:after="0"/>
      </w:pPr>
      <w:r>
        <w:t>Cross-Functional Risk Committees</w:t>
      </w:r>
    </w:p>
    <w:p>
      <w:pPr>
        <w:numPr>
          <w:ilvl w:val="1"/>
          <w:numId w:val="900"/>
        </w:numPr>
        <w:spacing w:before="0" w:after="0"/>
      </w:pPr>
      <w:r>
        <w:t>Enterprise-Wide Risk Assessment</w:t>
      </w:r>
    </w:p>
    <w:p>
      <w:pPr>
        <w:numPr>
          <w:ilvl w:val="1"/>
          <w:numId w:val="900"/>
        </w:numPr>
        <w:spacing w:before="0" w:after="0"/>
      </w:pPr>
      <w:r>
        <w:t>Risk Aggregation</w:t>
      </w:r>
    </w:p>
    <w:p>
      <w:pPr>
        <w:numPr>
          <w:ilvl w:val="1"/>
          <w:numId w:val="900"/>
        </w:numPr>
        <w:spacing w:before="0" w:after="0"/>
      </w:pPr>
      <w:r>
        <w:t>Risk Reporting</w:t>
      </w:r>
    </w:p>
    <w:p>
      <w:pPr>
        <w:numPr>
          <w:ilvl w:val="0"/>
          <w:numId w:val="900"/>
        </w:numPr>
        <w:spacing w:before="0" w:after="0"/>
      </w:pPr>
      <w:r>
        <w:t>Risk Culture and Governance</w:t>
      </w:r>
    </w:p>
    <w:p>
      <w:pPr>
        <w:numPr>
          <w:ilvl w:val="1"/>
          <w:numId w:val="900"/>
        </w:numPr>
        <w:spacing w:before="0" w:after="0"/>
      </w:pPr>
      <w:r>
        <w:t>Promoting a Risk-Aware Culture</w:t>
      </w:r>
    </w:p>
    <w:p>
      <w:pPr>
        <w:numPr>
          <w:ilvl w:val="1"/>
          <w:numId w:val="900"/>
        </w:numPr>
        <w:spacing w:before="0" w:after="0"/>
      </w:pPr>
      <w:r>
        <w:t>Tone at the Top</w:t>
      </w:r>
    </w:p>
    <w:p>
      <w:pPr>
        <w:numPr>
          <w:ilvl w:val="1"/>
          <w:numId w:val="900"/>
        </w:numPr>
        <w:spacing w:before="0" w:after="0"/>
      </w:pPr>
      <w:r>
        <w:t>Training and Awareness</w:t>
      </w:r>
    </w:p>
    <w:p>
      <w:pPr>
        <w:numPr>
          <w:ilvl w:val="1"/>
          <w:numId w:val="900"/>
        </w:numPr>
        <w:spacing w:before="0" w:after="0"/>
      </w:pPr>
      <w:r>
        <w:t>Incentive Alignment</w:t>
      </w:r>
    </w:p>
    <w:p>
      <w:pPr>
        <w:numPr>
          <w:ilvl w:val="0"/>
          <w:numId w:val="900"/>
        </w:numPr>
        <w:spacing w:before="0" w:after="0"/>
      </w:pPr>
      <w:r>
        <w:t>Strategic Risk Management</w:t>
      </w:r>
    </w:p>
    <w:p>
      <w:pPr>
        <w:numPr>
          <w:ilvl w:val="1"/>
          <w:numId w:val="900"/>
        </w:numPr>
        <w:spacing w:before="0" w:after="0"/>
      </w:pPr>
      <w:r>
        <w:t>Linking Risk Management to Strategy</w:t>
      </w:r>
    </w:p>
    <w:p>
      <w:pPr>
        <w:numPr>
          <w:ilvl w:val="1"/>
          <w:numId w:val="900"/>
        </w:numPr>
        <w:spacing w:before="0" w:after="0"/>
      </w:pPr>
      <w:r>
        <w:t>Risk-Adjusted Decision Making</w:t>
      </w:r>
    </w:p>
    <w:p>
      <w:pPr>
        <w:numPr>
          <w:ilvl w:val="1"/>
          <w:numId w:val="900"/>
        </w:numPr>
        <w:spacing w:before="0" w:after="0"/>
      </w:pPr>
      <w:r>
        <w:t>Strategic Risk Assessment</w:t>
      </w:r>
    </w:p>
    <w:p>
      <w:pPr>
        <w:numPr>
          <w:ilvl w:val="0"/>
          <w:numId w:val="900"/>
        </w:numPr>
        <w:spacing w:before="0" w:after="0"/>
      </w:pPr>
      <w:r>
        <w:t>Capital Management and Allocation</w:t>
      </w:r>
    </w:p>
    <w:p>
      <w:pPr>
        <w:numPr>
          <w:ilvl w:val="1"/>
          <w:numId w:val="900"/>
        </w:numPr>
        <w:spacing w:before="0" w:after="0"/>
      </w:pPr>
      <w:r>
        <w:t>Regulatory Capital</w:t>
      </w:r>
    </w:p>
    <w:p>
      <w:pPr>
        <w:numPr>
          <w:ilvl w:val="1"/>
          <w:numId w:val="900"/>
        </w:numPr>
        <w:spacing w:before="0" w:after="0"/>
      </w:pPr>
      <w:r>
        <w:t>Economic Capital</w:t>
      </w:r>
    </w:p>
    <w:p>
      <w:pPr>
        <w:numPr>
          <w:ilvl w:val="1"/>
          <w:numId w:val="900"/>
        </w:numPr>
        <w:spacing w:before="0" w:after="0"/>
      </w:pPr>
      <w:r>
        <w:t>Risk-Adjusted Return on Capital (RAROC)</w:t>
      </w:r>
    </w:p>
    <w:p>
      <w:pPr>
        <w:numPr>
          <w:ilvl w:val="1"/>
          <w:numId w:val="900"/>
        </w:numPr>
        <w:spacing w:before="0" w:after="0"/>
      </w:pPr>
      <w:r>
        <w:t>Capital Planning and Stress Testing</w:t>
      </w:r>
    </w:p>
    <w:p>
      <w:pPr>
        <w:numPr>
          <w:ilvl w:val="1"/>
          <w:numId w:val="900"/>
        </w:numPr>
        <w:spacing w:before="0" w:after="0"/>
      </w:pPr>
      <w:r>
        <w:t>Capital Allocation Methodologies</w:t>
      </w:r>
    </w:p>
    <w:p>
      <w:pPr>
        <w:pStyle w:val="Heading1"/>
      </w:pPr>
      <w:r>
        <w:t>Advanced Topics and Modern Trends in Risk Management</w:t>
      </w:r>
    </w:p>
    <w:p>
      <w:pPr>
        <w:numPr>
          <w:ilvl w:val="0"/>
          <w:numId w:val="900"/>
        </w:numPr>
        <w:spacing w:before="0" w:after="0"/>
      </w:pPr>
      <w:r>
        <w:t>Cybersecurity Risk</w:t>
      </w:r>
    </w:p>
    <w:p>
      <w:pPr>
        <w:numPr>
          <w:ilvl w:val="1"/>
          <w:numId w:val="900"/>
        </w:numPr>
        <w:spacing w:before="0" w:after="0"/>
      </w:pPr>
      <w:r>
        <w:t>Threat Landscape</w:t>
      </w:r>
    </w:p>
    <w:p>
      <w:pPr>
        <w:numPr>
          <w:ilvl w:val="2"/>
          <w:numId w:val="900"/>
        </w:numPr>
        <w:spacing w:before="0" w:after="0"/>
      </w:pPr>
      <w:r>
        <w:t>Cyber Attack Types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1"/>
          <w:numId w:val="900"/>
        </w:numPr>
        <w:spacing w:before="0" w:after="0"/>
      </w:pPr>
      <w:r>
        <w:t>Cyber Risk Assessment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Cyber Risk Mitigation Strategies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Cyber Insurance</w:t>
      </w:r>
    </w:p>
    <w:p>
      <w:pPr>
        <w:numPr>
          <w:ilvl w:val="0"/>
          <w:numId w:val="900"/>
        </w:numPr>
        <w:spacing w:before="0" w:after="0"/>
      </w:pPr>
      <w:r>
        <w:t>Climate-Related Financial Risk</w:t>
      </w:r>
    </w:p>
    <w:p>
      <w:pPr>
        <w:numPr>
          <w:ilvl w:val="1"/>
          <w:numId w:val="900"/>
        </w:numPr>
        <w:spacing w:before="0" w:after="0"/>
      </w:pPr>
      <w:r>
        <w:t>Physical Risk</w:t>
      </w:r>
    </w:p>
    <w:p>
      <w:pPr>
        <w:numPr>
          <w:ilvl w:val="2"/>
          <w:numId w:val="900"/>
        </w:numPr>
        <w:spacing w:before="0" w:after="0"/>
      </w:pPr>
      <w:r>
        <w:t>Acute Physical Risks</w:t>
      </w:r>
    </w:p>
    <w:p>
      <w:pPr>
        <w:numPr>
          <w:ilvl w:val="2"/>
          <w:numId w:val="900"/>
        </w:numPr>
        <w:spacing w:before="0" w:after="0"/>
      </w:pPr>
      <w:r>
        <w:t>Chronic Physical Risks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Asset Impairment</w:t>
      </w:r>
    </w:p>
    <w:p>
      <w:pPr>
        <w:numPr>
          <w:ilvl w:val="1"/>
          <w:numId w:val="900"/>
        </w:numPr>
        <w:spacing w:before="0" w:after="0"/>
      </w:pPr>
      <w:r>
        <w:t>Transition Risk</w:t>
      </w:r>
    </w:p>
    <w:p>
      <w:pPr>
        <w:numPr>
          <w:ilvl w:val="2"/>
          <w:numId w:val="900"/>
        </w:numPr>
        <w:spacing w:before="0" w:after="0"/>
      </w:pPr>
      <w:r>
        <w:t>Policy and Regulatory Changes</w:t>
      </w:r>
    </w:p>
    <w:p>
      <w:pPr>
        <w:numPr>
          <w:ilvl w:val="2"/>
          <w:numId w:val="900"/>
        </w:numPr>
        <w:spacing w:before="0" w:after="0"/>
      </w:pPr>
      <w:r>
        <w:t>Market and Technology Shifts</w:t>
      </w:r>
    </w:p>
    <w:p>
      <w:pPr>
        <w:numPr>
          <w:ilvl w:val="2"/>
          <w:numId w:val="900"/>
        </w:numPr>
        <w:spacing w:before="0" w:after="0"/>
      </w:pPr>
      <w:r>
        <w:t>Reputation Risk</w:t>
      </w:r>
    </w:p>
    <w:p>
      <w:pPr>
        <w:numPr>
          <w:ilvl w:val="1"/>
          <w:numId w:val="900"/>
        </w:numPr>
        <w:spacing w:before="0" w:after="0"/>
      </w:pPr>
      <w:r>
        <w:t>Climate Stress Testing</w:t>
      </w:r>
    </w:p>
    <w:p>
      <w:pPr>
        <w:numPr>
          <w:ilvl w:val="2"/>
          <w:numId w:val="900"/>
        </w:numPr>
        <w:spacing w:before="0" w:after="0"/>
      </w:pPr>
      <w:r>
        <w:t>Scenario Design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Climate Risk Disclosure</w:t>
      </w:r>
    </w:p>
    <w:p>
      <w:pPr>
        <w:numPr>
          <w:ilvl w:val="2"/>
          <w:numId w:val="900"/>
        </w:numPr>
        <w:spacing w:before="0" w:after="0"/>
      </w:pPr>
      <w:r>
        <w:t>TCFD Recommendations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Model Risk</w:t>
      </w:r>
    </w:p>
    <w:p>
      <w:pPr>
        <w:numPr>
          <w:ilvl w:val="1"/>
          <w:numId w:val="900"/>
        </w:numPr>
        <w:spacing w:before="0" w:after="0"/>
      </w:pPr>
      <w:r>
        <w:t>Model Development and Validation</w:t>
      </w:r>
    </w:p>
    <w:p>
      <w:pPr>
        <w:numPr>
          <w:ilvl w:val="2"/>
          <w:numId w:val="900"/>
        </w:numPr>
        <w:spacing w:before="0" w:after="0"/>
      </w:pPr>
      <w:r>
        <w:t>Model Development Process</w:t>
      </w:r>
    </w:p>
    <w:p>
      <w:pPr>
        <w:numPr>
          <w:ilvl w:val="2"/>
          <w:numId w:val="900"/>
        </w:numPr>
        <w:spacing w:before="0" w:after="0"/>
      </w:pPr>
      <w:r>
        <w:t>Model Validation Framework</w:t>
      </w:r>
    </w:p>
    <w:p>
      <w:pPr>
        <w:numPr>
          <w:ilvl w:val="2"/>
          <w:numId w:val="900"/>
        </w:numPr>
        <w:spacing w:before="0" w:after="0"/>
      </w:pPr>
      <w:r>
        <w:t>Independent Validation</w:t>
      </w:r>
    </w:p>
    <w:p>
      <w:pPr>
        <w:numPr>
          <w:ilvl w:val="1"/>
          <w:numId w:val="900"/>
        </w:numPr>
        <w:spacing w:before="0" w:after="0"/>
      </w:pPr>
      <w:r>
        <w:t>Model Risk Management Frameworks</w:t>
      </w:r>
    </w:p>
    <w:p>
      <w:pPr>
        <w:numPr>
          <w:ilvl w:val="2"/>
          <w:numId w:val="900"/>
        </w:numPr>
        <w:spacing w:before="0" w:after="0"/>
      </w:pPr>
      <w:r>
        <w:t>Model Inventory</w:t>
      </w:r>
    </w:p>
    <w:p>
      <w:pPr>
        <w:numPr>
          <w:ilvl w:val="2"/>
          <w:numId w:val="900"/>
        </w:numPr>
        <w:spacing w:before="0" w:after="0"/>
      </w:pPr>
      <w:r>
        <w:t>Model Risk Assessment</w:t>
      </w:r>
    </w:p>
    <w:p>
      <w:pPr>
        <w:numPr>
          <w:ilvl w:val="1"/>
          <w:numId w:val="900"/>
        </w:numPr>
        <w:spacing w:before="0" w:after="0"/>
      </w:pPr>
      <w:r>
        <w:t>Model Governance</w:t>
      </w:r>
    </w:p>
    <w:p>
      <w:pPr>
        <w:numPr>
          <w:ilvl w:val="2"/>
          <w:numId w:val="900"/>
        </w:numPr>
        <w:spacing w:before="0" w:after="0"/>
      </w:pPr>
      <w:r>
        <w:t>Model Approval Process</w:t>
      </w:r>
    </w:p>
    <w:p>
      <w:pPr>
        <w:numPr>
          <w:ilvl w:val="2"/>
          <w:numId w:val="900"/>
        </w:numPr>
        <w:spacing w:before="0" w:after="0"/>
      </w:pPr>
      <w:r>
        <w:t>Model Change Management</w:t>
      </w:r>
    </w:p>
    <w:p>
      <w:pPr>
        <w:numPr>
          <w:ilvl w:val="2"/>
          <w:numId w:val="900"/>
        </w:numPr>
        <w:spacing w:before="0" w:after="0"/>
      </w:pPr>
      <w:r>
        <w:t>Model Performance Monitoring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in Risk Management</w:t>
      </w:r>
    </w:p>
    <w:p>
      <w:pPr>
        <w:numPr>
          <w:ilvl w:val="1"/>
          <w:numId w:val="900"/>
        </w:numPr>
        <w:spacing w:before="0" w:after="0"/>
      </w:pPr>
      <w:r>
        <w:t>Applications in Risk Assessment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Market Risk Modeling</w:t>
      </w:r>
    </w:p>
    <w:p>
      <w:pPr>
        <w:numPr>
          <w:ilvl w:val="1"/>
          <w:numId w:val="900"/>
        </w:numPr>
        <w:spacing w:before="0" w:after="0"/>
      </w:pPr>
      <w:r>
        <w:t>Model Interpretability and Explainability</w:t>
      </w:r>
    </w:p>
    <w:p>
      <w:pPr>
        <w:numPr>
          <w:ilvl w:val="2"/>
          <w:numId w:val="900"/>
        </w:numPr>
        <w:spacing w:before="0" w:after="0"/>
      </w:pPr>
      <w:r>
        <w:t>Black Box Models</w:t>
      </w:r>
    </w:p>
    <w:p>
      <w:pPr>
        <w:numPr>
          <w:ilvl w:val="2"/>
          <w:numId w:val="900"/>
        </w:numPr>
        <w:spacing w:before="0" w:after="0"/>
      </w:pPr>
      <w:r>
        <w:t>Explainable AI</w:t>
      </w:r>
    </w:p>
    <w:p>
      <w:pPr>
        <w:numPr>
          <w:ilvl w:val="1"/>
          <w:numId w:val="900"/>
        </w:numPr>
        <w:spacing w:before="0" w:after="0"/>
      </w:pPr>
      <w:r>
        <w:t>Ethical and Regulatory Considerations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Fair Lending</w:t>
      </w:r>
    </w:p>
    <w:p>
      <w:pPr>
        <w:numPr>
          <w:ilvl w:val="2"/>
          <w:numId w:val="900"/>
        </w:numPr>
        <w:spacing w:before="0" w:after="0"/>
      </w:pPr>
      <w:r>
        <w:t>Model Governance for AI</w:t>
      </w:r>
    </w:p>
    <w:p>
      <w:pPr>
        <w:numPr>
          <w:ilvl w:val="0"/>
          <w:numId w:val="900"/>
        </w:numPr>
        <w:spacing w:before="0" w:after="0"/>
      </w:pPr>
      <w:r>
        <w:t>FinTech and Digital Disruption Risks</w:t>
      </w:r>
    </w:p>
    <w:p>
      <w:pPr>
        <w:numPr>
          <w:ilvl w:val="1"/>
          <w:numId w:val="900"/>
        </w:numPr>
        <w:spacing w:before="0" w:after="0"/>
      </w:pPr>
      <w:r>
        <w:t>New Business Models</w:t>
      </w:r>
    </w:p>
    <w:p>
      <w:pPr>
        <w:numPr>
          <w:ilvl w:val="2"/>
          <w:numId w:val="900"/>
        </w:numPr>
        <w:spacing w:before="0" w:after="0"/>
      </w:pPr>
      <w:r>
        <w:t>Digital Banking</w:t>
      </w:r>
    </w:p>
    <w:p>
      <w:pPr>
        <w:numPr>
          <w:ilvl w:val="2"/>
          <w:numId w:val="900"/>
        </w:numPr>
        <w:spacing w:before="0" w:after="0"/>
      </w:pPr>
      <w:r>
        <w:t>Peer-to-Peer Lending</w:t>
      </w:r>
    </w:p>
    <w:p>
      <w:pPr>
        <w:numPr>
          <w:ilvl w:val="2"/>
          <w:numId w:val="900"/>
        </w:numPr>
        <w:spacing w:before="0" w:after="0"/>
      </w:pPr>
      <w:r>
        <w:t>Cryptocurrency</w:t>
      </w:r>
    </w:p>
    <w:p>
      <w:pPr>
        <w:numPr>
          <w:ilvl w:val="1"/>
          <w:numId w:val="900"/>
        </w:numPr>
        <w:spacing w:before="0" w:after="0"/>
      </w:pPr>
      <w:r>
        <w:t>Technology-Driven Risks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Third-Party Risk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1"/>
          <w:numId w:val="900"/>
        </w:numPr>
        <w:spacing w:before="0" w:after="0"/>
      </w:pPr>
      <w:r>
        <w:t>Regulatory Challenges</w:t>
      </w:r>
    </w:p>
    <w:p>
      <w:pPr>
        <w:numPr>
          <w:ilvl w:val="2"/>
          <w:numId w:val="900"/>
        </w:numPr>
        <w:spacing w:before="0" w:after="0"/>
      </w:pPr>
      <w:r>
        <w:t>Regulatory Sandboxes</w:t>
      </w:r>
    </w:p>
    <w:p>
      <w:pPr>
        <w:numPr>
          <w:ilvl w:val="2"/>
          <w:numId w:val="900"/>
        </w:numPr>
        <w:spacing w:before="0" w:after="0"/>
      </w:pPr>
      <w:r>
        <w:t>Digital Asset Regulation</w:t>
      </w:r>
    </w:p>
    <w:p>
      <w:pPr>
        <w:numPr>
          <w:ilvl w:val="0"/>
          <w:numId w:val="900"/>
        </w:numPr>
        <w:spacing w:before="0" w:after="0"/>
      </w:pPr>
      <w:r>
        <w:t>Environmental, Social, and Governance (ESG) Risk</w:t>
      </w:r>
    </w:p>
    <w:p>
      <w:pPr>
        <w:numPr>
          <w:ilvl w:val="1"/>
          <w:numId w:val="900"/>
        </w:numPr>
        <w:spacing w:before="0" w:after="0"/>
      </w:pPr>
      <w:r>
        <w:t>ESG Risk Factors</w:t>
      </w:r>
    </w:p>
    <w:p>
      <w:pPr>
        <w:numPr>
          <w:ilvl w:val="2"/>
          <w:numId w:val="900"/>
        </w:numPr>
        <w:spacing w:before="0" w:after="0"/>
      </w:pPr>
      <w:r>
        <w:t>Environmental Risks</w:t>
      </w:r>
    </w:p>
    <w:p>
      <w:pPr>
        <w:numPr>
          <w:ilvl w:val="2"/>
          <w:numId w:val="900"/>
        </w:numPr>
        <w:spacing w:before="0" w:after="0"/>
      </w:pPr>
      <w:r>
        <w:t>Social Risks</w:t>
      </w:r>
    </w:p>
    <w:p>
      <w:pPr>
        <w:numPr>
          <w:ilvl w:val="2"/>
          <w:numId w:val="900"/>
        </w:numPr>
        <w:spacing w:before="0" w:after="0"/>
      </w:pPr>
      <w:r>
        <w:t>Governance Risks</w:t>
      </w:r>
    </w:p>
    <w:p>
      <w:pPr>
        <w:numPr>
          <w:ilvl w:val="1"/>
          <w:numId w:val="900"/>
        </w:numPr>
        <w:spacing w:before="0" w:after="0"/>
      </w:pPr>
      <w:r>
        <w:t>ESG Risk Assessment</w:t>
      </w:r>
    </w:p>
    <w:p>
      <w:pPr>
        <w:numPr>
          <w:ilvl w:val="2"/>
          <w:numId w:val="900"/>
        </w:numPr>
        <w:spacing w:before="0" w:after="0"/>
      </w:pPr>
      <w:r>
        <w:t>ESG Scoring</w:t>
      </w:r>
    </w:p>
    <w:p>
      <w:pPr>
        <w:numPr>
          <w:ilvl w:val="2"/>
          <w:numId w:val="900"/>
        </w:numPr>
        <w:spacing w:before="0" w:after="0"/>
      </w:pPr>
      <w:r>
        <w:t>Materiality Assessment</w:t>
      </w:r>
    </w:p>
    <w:p>
      <w:pPr>
        <w:numPr>
          <w:ilvl w:val="1"/>
          <w:numId w:val="900"/>
        </w:numPr>
        <w:spacing w:before="0" w:after="0"/>
      </w:pPr>
      <w:r>
        <w:t>ESG Integration in Risk Management</w:t>
      </w:r>
    </w:p>
    <w:p>
      <w:pPr>
        <w:numPr>
          <w:ilvl w:val="2"/>
          <w:numId w:val="900"/>
        </w:numPr>
        <w:spacing w:before="0" w:after="0"/>
      </w:pPr>
      <w:r>
        <w:t>Investment Risk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Operational Risk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