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Mergers and Acquisitions (M&amp;A)</w:t>
      </w:r>
    </w:p>
    <w:p>
      <w:pPr>
        <w:pStyle w:val="Heading1"/>
      </w:pPr>
      <w:r>
        <w:t>Introduction to Mergers and Acquisitions</w:t>
      </w:r>
    </w:p>
    <w:p>
      <w:pPr>
        <w:numPr>
          <w:ilvl w:val="0"/>
          <w:numId w:val="900"/>
        </w:numPr>
        <w:spacing w:before="0" w:after="0"/>
      </w:pPr>
      <w:r>
        <w:t>Defining Mergers and Acquisitions</w:t>
      </w:r>
    </w:p>
    <w:p>
      <w:pPr>
        <w:numPr>
          <w:ilvl w:val="1"/>
          <w:numId w:val="900"/>
        </w:numPr>
        <w:spacing w:before="0" w:after="0"/>
      </w:pPr>
      <w:r>
        <w:t>Mergers</w:t>
      </w:r>
    </w:p>
    <w:p>
      <w:pPr>
        <w:numPr>
          <w:ilvl w:val="2"/>
          <w:numId w:val="900"/>
        </w:numPr>
        <w:spacing w:before="0" w:after="0"/>
      </w:pPr>
      <w:r>
        <w:t>Statutory Mergers</w:t>
      </w:r>
    </w:p>
    <w:p>
      <w:pPr>
        <w:numPr>
          <w:ilvl w:val="2"/>
          <w:numId w:val="900"/>
        </w:numPr>
        <w:spacing w:before="0" w:after="0"/>
      </w:pPr>
      <w:r>
        <w:t>Subsidiary Mergers</w:t>
      </w:r>
    </w:p>
    <w:p>
      <w:pPr>
        <w:numPr>
          <w:ilvl w:val="1"/>
          <w:numId w:val="900"/>
        </w:numPr>
        <w:spacing w:before="0" w:after="0"/>
      </w:pPr>
      <w:r>
        <w:t>Acquisitions</w:t>
      </w:r>
    </w:p>
    <w:p>
      <w:pPr>
        <w:numPr>
          <w:ilvl w:val="2"/>
          <w:numId w:val="900"/>
        </w:numPr>
        <w:spacing w:before="0" w:after="0"/>
      </w:pPr>
      <w:r>
        <w:t>Share Purchases</w:t>
      </w:r>
    </w:p>
    <w:p>
      <w:pPr>
        <w:numPr>
          <w:ilvl w:val="2"/>
          <w:numId w:val="900"/>
        </w:numPr>
        <w:spacing w:before="0" w:after="0"/>
      </w:pPr>
      <w:r>
        <w:t>Asset Purchases</w:t>
      </w:r>
    </w:p>
    <w:p>
      <w:pPr>
        <w:numPr>
          <w:ilvl w:val="1"/>
          <w:numId w:val="900"/>
        </w:numPr>
        <w:spacing w:before="0" w:after="0"/>
      </w:pPr>
      <w:r>
        <w:t>Consolidations</w:t>
      </w:r>
    </w:p>
    <w:p>
      <w:pPr>
        <w:numPr>
          <w:ilvl w:val="1"/>
          <w:numId w:val="900"/>
        </w:numPr>
        <w:spacing w:before="0" w:after="0"/>
      </w:pPr>
      <w:r>
        <w:t>Tender Offers</w:t>
      </w:r>
    </w:p>
    <w:p>
      <w:pPr>
        <w:numPr>
          <w:ilvl w:val="1"/>
          <w:numId w:val="900"/>
        </w:numPr>
        <w:spacing w:before="0" w:after="0"/>
      </w:pPr>
      <w:r>
        <w:t>Distinction Between Mergers and Acquisitions</w:t>
      </w:r>
    </w:p>
    <w:p>
      <w:pPr>
        <w:numPr>
          <w:ilvl w:val="1"/>
          <w:numId w:val="900"/>
        </w:numPr>
        <w:spacing w:before="0" w:after="0"/>
      </w:pPr>
      <w:r>
        <w:t>Key Terminology in M&amp;A</w:t>
      </w:r>
    </w:p>
    <w:p>
      <w:pPr>
        <w:numPr>
          <w:ilvl w:val="0"/>
          <w:numId w:val="900"/>
        </w:numPr>
        <w:spacing w:before="0" w:after="0"/>
      </w:pPr>
      <w:r>
        <w:t>Historical Context and M&amp;A Waves</w:t>
      </w:r>
    </w:p>
    <w:p>
      <w:pPr>
        <w:numPr>
          <w:ilvl w:val="1"/>
          <w:numId w:val="900"/>
        </w:numPr>
        <w:spacing w:before="0" w:after="0"/>
      </w:pPr>
      <w:r>
        <w:t>Overview of Major M&amp;A Waves</w:t>
      </w:r>
    </w:p>
    <w:p>
      <w:pPr>
        <w:numPr>
          <w:ilvl w:val="2"/>
          <w:numId w:val="900"/>
        </w:numPr>
        <w:spacing w:before="0" w:after="0"/>
      </w:pPr>
      <w:r>
        <w:t>First Wave (1890s-1900s)</w:t>
      </w:r>
    </w:p>
    <w:p>
      <w:pPr>
        <w:numPr>
          <w:ilvl w:val="2"/>
          <w:numId w:val="900"/>
        </w:numPr>
        <w:spacing w:before="0" w:after="0"/>
      </w:pPr>
      <w:r>
        <w:t>Second Wave (1920s)</w:t>
      </w:r>
    </w:p>
    <w:p>
      <w:pPr>
        <w:numPr>
          <w:ilvl w:val="2"/>
          <w:numId w:val="900"/>
        </w:numPr>
        <w:spacing w:before="0" w:after="0"/>
      </w:pPr>
      <w:r>
        <w:t>Third Wave (1960s)</w:t>
      </w:r>
    </w:p>
    <w:p>
      <w:pPr>
        <w:numPr>
          <w:ilvl w:val="2"/>
          <w:numId w:val="900"/>
        </w:numPr>
        <w:spacing w:before="0" w:after="0"/>
      </w:pPr>
      <w:r>
        <w:t>Fourth Wave (1980s)</w:t>
      </w:r>
    </w:p>
    <w:p>
      <w:pPr>
        <w:numPr>
          <w:ilvl w:val="2"/>
          <w:numId w:val="900"/>
        </w:numPr>
        <w:spacing w:before="0" w:after="0"/>
      </w:pPr>
      <w:r>
        <w:t>Fifth Wave (1990s)</w:t>
      </w:r>
    </w:p>
    <w:p>
      <w:pPr>
        <w:numPr>
          <w:ilvl w:val="2"/>
          <w:numId w:val="900"/>
        </w:numPr>
        <w:spacing w:before="0" w:after="0"/>
      </w:pPr>
      <w:r>
        <w:t>Sixth Wave (2000s)</w:t>
      </w:r>
    </w:p>
    <w:p>
      <w:pPr>
        <w:numPr>
          <w:ilvl w:val="2"/>
          <w:numId w:val="900"/>
        </w:numPr>
        <w:spacing w:before="0" w:after="0"/>
      </w:pPr>
      <w:r>
        <w:t>Recent Trends and Developments</w:t>
      </w:r>
    </w:p>
    <w:p>
      <w:pPr>
        <w:numPr>
          <w:ilvl w:val="1"/>
          <w:numId w:val="900"/>
        </w:numPr>
        <w:spacing w:before="0" w:after="0"/>
      </w:pPr>
      <w:r>
        <w:t>Drivers of M&amp;A Activity in Each Wave</w:t>
      </w:r>
    </w:p>
    <w:p>
      <w:pPr>
        <w:numPr>
          <w:ilvl w:val="1"/>
          <w:numId w:val="900"/>
        </w:numPr>
        <w:spacing w:before="0" w:after="0"/>
      </w:pPr>
      <w:r>
        <w:t>Lessons Learned from Past M&amp;A Cycles</w:t>
      </w:r>
    </w:p>
    <w:p>
      <w:pPr>
        <w:numPr>
          <w:ilvl w:val="0"/>
          <w:numId w:val="900"/>
        </w:numPr>
        <w:spacing w:before="0" w:after="0"/>
      </w:pPr>
      <w:r>
        <w:t>Key Participants in the M&amp;A Process</w:t>
      </w:r>
    </w:p>
    <w:p>
      <w:pPr>
        <w:numPr>
          <w:ilvl w:val="1"/>
          <w:numId w:val="900"/>
        </w:numPr>
        <w:spacing w:before="0" w:after="0"/>
      </w:pPr>
      <w:r>
        <w:t>Acquirers and Targets</w:t>
      </w:r>
    </w:p>
    <w:p>
      <w:pPr>
        <w:numPr>
          <w:ilvl w:val="2"/>
          <w:numId w:val="900"/>
        </w:numPr>
        <w:spacing w:before="0" w:after="0"/>
      </w:pPr>
      <w:r>
        <w:t>Strategic Buyers</w:t>
      </w:r>
    </w:p>
    <w:p>
      <w:pPr>
        <w:numPr>
          <w:ilvl w:val="2"/>
          <w:numId w:val="900"/>
        </w:numPr>
        <w:spacing w:before="0" w:after="0"/>
      </w:pPr>
      <w:r>
        <w:t>Financial Buyers</w:t>
      </w:r>
    </w:p>
    <w:p>
      <w:pPr>
        <w:numPr>
          <w:ilvl w:val="1"/>
          <w:numId w:val="900"/>
        </w:numPr>
        <w:spacing w:before="0" w:after="0"/>
      </w:pPr>
      <w:r>
        <w:t>Investment Banks</w:t>
      </w:r>
    </w:p>
    <w:p>
      <w:pPr>
        <w:numPr>
          <w:ilvl w:val="2"/>
          <w:numId w:val="900"/>
        </w:numPr>
        <w:spacing w:before="0" w:after="0"/>
      </w:pPr>
      <w:r>
        <w:t>Advisory Roles</w:t>
      </w:r>
    </w:p>
    <w:p>
      <w:pPr>
        <w:numPr>
          <w:ilvl w:val="2"/>
          <w:numId w:val="900"/>
        </w:numPr>
        <w:spacing w:before="0" w:after="0"/>
      </w:pPr>
      <w:r>
        <w:t>Financing Roles</w:t>
      </w:r>
    </w:p>
    <w:p>
      <w:pPr>
        <w:numPr>
          <w:ilvl w:val="1"/>
          <w:numId w:val="900"/>
        </w:numPr>
        <w:spacing w:before="0" w:after="0"/>
      </w:pPr>
      <w:r>
        <w:t>Legal Counsel</w:t>
      </w:r>
    </w:p>
    <w:p>
      <w:pPr>
        <w:numPr>
          <w:ilvl w:val="2"/>
          <w:numId w:val="900"/>
        </w:numPr>
        <w:spacing w:before="0" w:after="0"/>
      </w:pPr>
      <w:r>
        <w:t>Deal Structuring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Accounting and Consulting Firms</w:t>
      </w:r>
    </w:p>
    <w:p>
      <w:pPr>
        <w:numPr>
          <w:ilvl w:val="2"/>
          <w:numId w:val="900"/>
        </w:numPr>
        <w:spacing w:before="0" w:after="0"/>
      </w:pPr>
      <w:r>
        <w:t>Financial Due Diligence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Institutional Investors and Activists</w:t>
      </w:r>
    </w:p>
    <w:p>
      <w:pPr>
        <w:numPr>
          <w:ilvl w:val="2"/>
          <w:numId w:val="900"/>
        </w:numPr>
        <w:spacing w:before="0" w:after="0"/>
      </w:pPr>
      <w:r>
        <w:t>Role in Deal Approval</w:t>
      </w:r>
    </w:p>
    <w:p>
      <w:pPr>
        <w:numPr>
          <w:ilvl w:val="2"/>
          <w:numId w:val="900"/>
        </w:numPr>
        <w:spacing w:before="0" w:after="0"/>
      </w:pPr>
      <w:r>
        <w:t>Influence on Deal Terms</w:t>
      </w:r>
    </w:p>
    <w:p>
      <w:pPr>
        <w:numPr>
          <w:ilvl w:val="1"/>
          <w:numId w:val="900"/>
        </w:numPr>
        <w:spacing w:before="0" w:after="0"/>
      </w:pPr>
      <w:r>
        <w:t>Other Stakeholders</w:t>
      </w:r>
    </w:p>
    <w:p>
      <w:pPr>
        <w:numPr>
          <w:ilvl w:val="2"/>
          <w:numId w:val="900"/>
        </w:numPr>
        <w:spacing w:before="0" w:after="0"/>
      </w:pPr>
      <w:r>
        <w:t>Employees</w:t>
      </w:r>
    </w:p>
    <w:p>
      <w:pPr>
        <w:numPr>
          <w:ilvl w:val="2"/>
          <w:numId w:val="900"/>
        </w:numPr>
        <w:spacing w:before="0" w:after="0"/>
      </w:pPr>
      <w:r>
        <w:t>Customers</w:t>
      </w:r>
    </w:p>
    <w:p>
      <w:pPr>
        <w:numPr>
          <w:ilvl w:val="2"/>
          <w:numId w:val="900"/>
        </w:numPr>
        <w:spacing w:before="0" w:after="0"/>
      </w:pPr>
      <w:r>
        <w:t>Regulators</w:t>
      </w:r>
    </w:p>
    <w:p>
      <w:pPr>
        <w:pStyle w:val="Heading1"/>
      </w:pPr>
      <w:r>
        <w:t>Strategic Rationale for M&amp;A</w:t>
      </w:r>
    </w:p>
    <w:p>
      <w:pPr>
        <w:numPr>
          <w:ilvl w:val="0"/>
          <w:numId w:val="900"/>
        </w:numPr>
        <w:spacing w:before="0" w:after="0"/>
      </w:pPr>
      <w:r>
        <w:t>Motivations for Pursuing M&amp;A</w:t>
      </w:r>
    </w:p>
    <w:p>
      <w:pPr>
        <w:numPr>
          <w:ilvl w:val="1"/>
          <w:numId w:val="900"/>
        </w:numPr>
        <w:spacing w:before="0" w:after="0"/>
      </w:pPr>
      <w:r>
        <w:t>Growth and Market Extension</w:t>
      </w:r>
    </w:p>
    <w:p>
      <w:pPr>
        <w:numPr>
          <w:ilvl w:val="2"/>
          <w:numId w:val="900"/>
        </w:numPr>
        <w:spacing w:before="0" w:after="0"/>
      </w:pPr>
      <w:r>
        <w:t>Entering New Markets</w:t>
      </w:r>
    </w:p>
    <w:p>
      <w:pPr>
        <w:numPr>
          <w:ilvl w:val="2"/>
          <w:numId w:val="900"/>
        </w:numPr>
        <w:spacing w:before="0" w:after="0"/>
      </w:pPr>
      <w:r>
        <w:t>Expanding Product Lines</w:t>
      </w:r>
    </w:p>
    <w:p>
      <w:pPr>
        <w:numPr>
          <w:ilvl w:val="1"/>
          <w:numId w:val="900"/>
        </w:numPr>
        <w:spacing w:before="0" w:after="0"/>
      </w:pPr>
      <w:r>
        <w:t>Gaining Market Share</w:t>
      </w:r>
    </w:p>
    <w:p>
      <w:pPr>
        <w:numPr>
          <w:ilvl w:val="1"/>
          <w:numId w:val="900"/>
        </w:numPr>
        <w:spacing w:before="0" w:after="0"/>
      </w:pPr>
      <w:r>
        <w:t>Acquiring Technology or Intellectual Property</w:t>
      </w:r>
    </w:p>
    <w:p>
      <w:pPr>
        <w:numPr>
          <w:ilvl w:val="1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Reducing Business Risk</w:t>
      </w:r>
    </w:p>
    <w:p>
      <w:pPr>
        <w:numPr>
          <w:ilvl w:val="2"/>
          <w:numId w:val="900"/>
        </w:numPr>
        <w:spacing w:before="0" w:after="0"/>
      </w:pPr>
      <w:r>
        <w:t>Entering Unrelated Industries</w:t>
      </w:r>
    </w:p>
    <w:p>
      <w:pPr>
        <w:numPr>
          <w:ilvl w:val="1"/>
          <w:numId w:val="900"/>
        </w:numPr>
        <w:spacing w:before="0" w:after="0"/>
      </w:pPr>
      <w:r>
        <w:t>Supply Chain Control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2"/>
          <w:numId w:val="900"/>
        </w:numPr>
        <w:spacing w:before="0" w:after="0"/>
      </w:pPr>
      <w:r>
        <w:t>Securing Inputs or Distribution</w:t>
      </w:r>
    </w:p>
    <w:p>
      <w:pPr>
        <w:numPr>
          <w:ilvl w:val="1"/>
          <w:numId w:val="900"/>
        </w:numPr>
        <w:spacing w:before="0" w:after="0"/>
      </w:pPr>
      <w:r>
        <w:t>Defensive Consolidation</w:t>
      </w:r>
    </w:p>
    <w:p>
      <w:pPr>
        <w:numPr>
          <w:ilvl w:val="2"/>
          <w:numId w:val="900"/>
        </w:numPr>
        <w:spacing w:before="0" w:after="0"/>
      </w:pPr>
      <w:r>
        <w:t>Responding to Industry Disruption</w:t>
      </w:r>
    </w:p>
    <w:p>
      <w:pPr>
        <w:numPr>
          <w:ilvl w:val="2"/>
          <w:numId w:val="900"/>
        </w:numPr>
        <w:spacing w:before="0" w:after="0"/>
      </w:pPr>
      <w:r>
        <w:t>Preempting Competitors</w:t>
      </w:r>
    </w:p>
    <w:p>
      <w:pPr>
        <w:numPr>
          <w:ilvl w:val="1"/>
          <w:numId w:val="900"/>
        </w:numPr>
        <w:spacing w:before="0" w:after="0"/>
      </w:pPr>
      <w:r>
        <w:t>Other Strategic Motives</w:t>
      </w:r>
    </w:p>
    <w:p>
      <w:pPr>
        <w:numPr>
          <w:ilvl w:val="2"/>
          <w:numId w:val="900"/>
        </w:numPr>
        <w:spacing w:before="0" w:after="0"/>
      </w:pPr>
      <w:r>
        <w:t>Talent Acquisition</w:t>
      </w:r>
    </w:p>
    <w:p>
      <w:pPr>
        <w:numPr>
          <w:ilvl w:val="2"/>
          <w:numId w:val="900"/>
        </w:numPr>
        <w:spacing w:before="0" w:after="0"/>
      </w:pPr>
      <w:r>
        <w:t>Regulatory Arbitrage</w:t>
      </w:r>
    </w:p>
    <w:p>
      <w:pPr>
        <w:numPr>
          <w:ilvl w:val="0"/>
          <w:numId w:val="900"/>
        </w:numPr>
        <w:spacing w:before="0" w:after="0"/>
      </w:pPr>
      <w:r>
        <w:t>Concept of Synergy</w:t>
      </w:r>
    </w:p>
    <w:p>
      <w:pPr>
        <w:numPr>
          <w:ilvl w:val="1"/>
          <w:numId w:val="900"/>
        </w:numPr>
        <w:spacing w:before="0" w:after="0"/>
      </w:pPr>
      <w:r>
        <w:t>Operating Synergies</w:t>
      </w:r>
    </w:p>
    <w:p>
      <w:pPr>
        <w:numPr>
          <w:ilvl w:val="2"/>
          <w:numId w:val="900"/>
        </w:numPr>
        <w:spacing w:before="0" w:after="0"/>
      </w:pPr>
      <w:r>
        <w:t>Cost Synergies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Elimination of Redundancies</w:t>
      </w:r>
    </w:p>
    <w:p>
      <w:pPr>
        <w:numPr>
          <w:ilvl w:val="3"/>
          <w:numId w:val="900"/>
        </w:numPr>
        <w:spacing w:before="0" w:after="0"/>
      </w:pPr>
      <w:r>
        <w:t>Procurement Savings</w:t>
      </w:r>
    </w:p>
    <w:p>
      <w:pPr>
        <w:numPr>
          <w:ilvl w:val="3"/>
          <w:numId w:val="900"/>
        </w:numPr>
        <w:spacing w:before="0" w:after="0"/>
      </w:pPr>
      <w:r>
        <w:t>Facility Consolidation</w:t>
      </w:r>
    </w:p>
    <w:p>
      <w:pPr>
        <w:numPr>
          <w:ilvl w:val="2"/>
          <w:numId w:val="900"/>
        </w:numPr>
        <w:spacing w:before="0" w:after="0"/>
      </w:pPr>
      <w:r>
        <w:t>Revenue Synergies</w:t>
      </w:r>
    </w:p>
    <w:p>
      <w:pPr>
        <w:numPr>
          <w:ilvl w:val="3"/>
          <w:numId w:val="900"/>
        </w:numPr>
        <w:spacing w:before="0" w:after="0"/>
      </w:pPr>
      <w:r>
        <w:t>Cross-Selling Opportunities</w:t>
      </w:r>
    </w:p>
    <w:p>
      <w:pPr>
        <w:numPr>
          <w:ilvl w:val="3"/>
          <w:numId w:val="900"/>
        </w:numPr>
        <w:spacing w:before="0" w:after="0"/>
      </w:pPr>
      <w:r>
        <w:t>Access to New Customers</w:t>
      </w:r>
    </w:p>
    <w:p>
      <w:pPr>
        <w:numPr>
          <w:ilvl w:val="3"/>
          <w:numId w:val="900"/>
        </w:numPr>
        <w:spacing w:before="0" w:after="0"/>
      </w:pPr>
      <w:r>
        <w:t>Enhanced Product Offerings</w:t>
      </w:r>
    </w:p>
    <w:p>
      <w:pPr>
        <w:numPr>
          <w:ilvl w:val="3"/>
          <w:numId w:val="900"/>
        </w:numPr>
        <w:spacing w:before="0" w:after="0"/>
      </w:pPr>
      <w:r>
        <w:t>Geographic Expansion</w:t>
      </w:r>
    </w:p>
    <w:p>
      <w:pPr>
        <w:numPr>
          <w:ilvl w:val="1"/>
          <w:numId w:val="900"/>
        </w:numPr>
        <w:spacing w:before="0" w:after="0"/>
      </w:pPr>
      <w:r>
        <w:t>Financial Synergies</w:t>
      </w:r>
    </w:p>
    <w:p>
      <w:pPr>
        <w:numPr>
          <w:ilvl w:val="2"/>
          <w:numId w:val="900"/>
        </w:numPr>
        <w:spacing w:before="0" w:after="0"/>
      </w:pPr>
      <w:r>
        <w:t>Tax Benefits</w:t>
      </w:r>
    </w:p>
    <w:p>
      <w:pPr>
        <w:numPr>
          <w:ilvl w:val="3"/>
          <w:numId w:val="900"/>
        </w:numPr>
        <w:spacing w:before="0" w:after="0"/>
      </w:pPr>
      <w:r>
        <w:t>Utilization of Tax Losses</w:t>
      </w:r>
    </w:p>
    <w:p>
      <w:pPr>
        <w:numPr>
          <w:ilvl w:val="3"/>
          <w:numId w:val="900"/>
        </w:numPr>
        <w:spacing w:before="0" w:after="0"/>
      </w:pPr>
      <w:r>
        <w:t>Tax Shield from Increased Debt</w:t>
      </w:r>
    </w:p>
    <w:p>
      <w:pPr>
        <w:numPr>
          <w:ilvl w:val="2"/>
          <w:numId w:val="900"/>
        </w:numPr>
        <w:spacing w:before="0" w:after="0"/>
      </w:pPr>
      <w:r>
        <w:t>Increased Debt Capacity</w:t>
      </w:r>
    </w:p>
    <w:p>
      <w:pPr>
        <w:numPr>
          <w:ilvl w:val="3"/>
          <w:numId w:val="900"/>
        </w:numPr>
        <w:spacing w:before="0" w:after="0"/>
      </w:pPr>
      <w:r>
        <w:t>Improved Credit Profile</w:t>
      </w:r>
    </w:p>
    <w:p>
      <w:pPr>
        <w:numPr>
          <w:ilvl w:val="3"/>
          <w:numId w:val="900"/>
        </w:numPr>
        <w:spacing w:before="0" w:after="0"/>
      </w:pPr>
      <w:r>
        <w:t>Lower Cost of Capital</w:t>
      </w:r>
    </w:p>
    <w:p>
      <w:pPr>
        <w:numPr>
          <w:ilvl w:val="1"/>
          <w:numId w:val="900"/>
        </w:numPr>
        <w:spacing w:before="0" w:after="0"/>
      </w:pPr>
      <w:r>
        <w:t>Risks and Challenges in Realizing Synergies</w:t>
      </w:r>
    </w:p>
    <w:p>
      <w:pPr>
        <w:numPr>
          <w:ilvl w:val="2"/>
          <w:numId w:val="900"/>
        </w:numPr>
        <w:spacing w:before="0" w:after="0"/>
      </w:pPr>
      <w:r>
        <w:t>Integration Complexity</w:t>
      </w:r>
    </w:p>
    <w:p>
      <w:pPr>
        <w:numPr>
          <w:ilvl w:val="2"/>
          <w:numId w:val="900"/>
        </w:numPr>
        <w:spacing w:before="0" w:after="0"/>
      </w:pPr>
      <w:r>
        <w:t>Cultural Clashes</w:t>
      </w:r>
    </w:p>
    <w:p>
      <w:pPr>
        <w:numPr>
          <w:ilvl w:val="2"/>
          <w:numId w:val="900"/>
        </w:numPr>
        <w:spacing w:before="0" w:after="0"/>
      </w:pPr>
      <w:r>
        <w:t>Customer Attrition</w:t>
      </w:r>
    </w:p>
    <w:p>
      <w:pPr>
        <w:numPr>
          <w:ilvl w:val="2"/>
          <w:numId w:val="900"/>
        </w:numPr>
        <w:spacing w:before="0" w:after="0"/>
      </w:pPr>
      <w:r>
        <w:t>Overestimation of Benefits</w:t>
      </w:r>
    </w:p>
    <w:p>
      <w:pPr>
        <w:numPr>
          <w:ilvl w:val="0"/>
          <w:numId w:val="900"/>
        </w:numPr>
        <w:spacing w:before="0" w:after="0"/>
      </w:pPr>
      <w:r>
        <w:t>Developing an M&amp;A Strategy</w:t>
      </w:r>
    </w:p>
    <w:p>
      <w:pPr>
        <w:numPr>
          <w:ilvl w:val="1"/>
          <w:numId w:val="900"/>
        </w:numPr>
        <w:spacing w:before="0" w:after="0"/>
      </w:pPr>
      <w:r>
        <w:t>Alignment with Corporate Strategy</w:t>
      </w:r>
    </w:p>
    <w:p>
      <w:pPr>
        <w:numPr>
          <w:ilvl w:val="2"/>
          <w:numId w:val="900"/>
        </w:numPr>
        <w:spacing w:before="0" w:after="0"/>
      </w:pPr>
      <w:r>
        <w:t>Strategic Fit Assessment</w:t>
      </w:r>
    </w:p>
    <w:p>
      <w:pPr>
        <w:numPr>
          <w:ilvl w:val="2"/>
          <w:numId w:val="900"/>
        </w:numPr>
        <w:spacing w:before="0" w:after="0"/>
      </w:pPr>
      <w:r>
        <w:t>Long-Term Value Creation</w:t>
      </w:r>
    </w:p>
    <w:p>
      <w:pPr>
        <w:numPr>
          <w:ilvl w:val="1"/>
          <w:numId w:val="900"/>
        </w:numPr>
        <w:spacing w:before="0" w:after="0"/>
      </w:pPr>
      <w:r>
        <w:t>Build vs. Buy Analysis</w:t>
      </w:r>
    </w:p>
    <w:p>
      <w:pPr>
        <w:numPr>
          <w:ilvl w:val="2"/>
          <w:numId w:val="900"/>
        </w:numPr>
        <w:spacing w:before="0" w:after="0"/>
      </w:pPr>
      <w:r>
        <w:t>Internal Development vs. Acquisition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Time-to-Market Considerations</w:t>
      </w:r>
    </w:p>
    <w:p>
      <w:pPr>
        <w:numPr>
          <w:ilvl w:val="1"/>
          <w:numId w:val="900"/>
        </w:numPr>
        <w:spacing w:before="0" w:after="0"/>
      </w:pPr>
      <w:r>
        <w:t>Target Identification and Screening Criteria</w:t>
      </w:r>
    </w:p>
    <w:p>
      <w:pPr>
        <w:numPr>
          <w:ilvl w:val="2"/>
          <w:numId w:val="900"/>
        </w:numPr>
        <w:spacing w:before="0" w:after="0"/>
      </w:pPr>
      <w:r>
        <w:t>Defining Investment Criteria</w:t>
      </w:r>
    </w:p>
    <w:p>
      <w:pPr>
        <w:numPr>
          <w:ilvl w:val="2"/>
          <w:numId w:val="900"/>
        </w:numPr>
        <w:spacing w:before="0" w:after="0"/>
      </w:pPr>
      <w:r>
        <w:t>Screening Process</w:t>
      </w:r>
    </w:p>
    <w:p>
      <w:pPr>
        <w:numPr>
          <w:ilvl w:val="2"/>
          <w:numId w:val="900"/>
        </w:numPr>
        <w:spacing w:before="0" w:after="0"/>
      </w:pPr>
      <w:r>
        <w:t>Initial Target List Development</w:t>
      </w:r>
    </w:p>
    <w:p>
      <w:pPr>
        <w:pStyle w:val="Heading1"/>
      </w:pPr>
      <w:r>
        <w:t>Types of M&amp;A Transactions</w:t>
      </w:r>
    </w:p>
    <w:p>
      <w:pPr>
        <w:numPr>
          <w:ilvl w:val="0"/>
          <w:numId w:val="900"/>
        </w:numPr>
        <w:spacing w:before="0" w:after="0"/>
      </w:pPr>
      <w:r>
        <w:t>Classification by Business Relationship</w:t>
      </w:r>
    </w:p>
    <w:p>
      <w:pPr>
        <w:numPr>
          <w:ilvl w:val="1"/>
          <w:numId w:val="900"/>
        </w:numPr>
        <w:spacing w:before="0" w:after="0"/>
      </w:pPr>
      <w:r>
        <w:t>Horizontal Mergers</w:t>
      </w:r>
    </w:p>
    <w:p>
      <w:pPr>
        <w:numPr>
          <w:ilvl w:val="2"/>
          <w:numId w:val="900"/>
        </w:numPr>
        <w:spacing w:before="0" w:after="0"/>
      </w:pPr>
      <w:r>
        <w:t>Industry Consolidation</w:t>
      </w:r>
    </w:p>
    <w:p>
      <w:pPr>
        <w:numPr>
          <w:ilvl w:val="2"/>
          <w:numId w:val="900"/>
        </w:numPr>
        <w:spacing w:before="0" w:after="0"/>
      </w:pPr>
      <w:r>
        <w:t>Antitrust Considerations</w:t>
      </w:r>
    </w:p>
    <w:p>
      <w:pPr>
        <w:numPr>
          <w:ilvl w:val="2"/>
          <w:numId w:val="900"/>
        </w:numPr>
        <w:spacing w:before="0" w:after="0"/>
      </w:pPr>
      <w:r>
        <w:t>Market Share Enhancement</w:t>
      </w:r>
    </w:p>
    <w:p>
      <w:pPr>
        <w:numPr>
          <w:ilvl w:val="1"/>
          <w:numId w:val="900"/>
        </w:numPr>
        <w:spacing w:before="0" w:after="0"/>
      </w:pPr>
      <w:r>
        <w:t>Vertical Mergers</w:t>
      </w:r>
    </w:p>
    <w:p>
      <w:pPr>
        <w:numPr>
          <w:ilvl w:val="2"/>
          <w:numId w:val="900"/>
        </w:numPr>
        <w:spacing w:before="0" w:after="0"/>
      </w:pPr>
      <w:r>
        <w:t>Upstream Integration</w:t>
      </w:r>
    </w:p>
    <w:p>
      <w:pPr>
        <w:numPr>
          <w:ilvl w:val="2"/>
          <w:numId w:val="900"/>
        </w:numPr>
        <w:spacing w:before="0" w:after="0"/>
      </w:pPr>
      <w:r>
        <w:t>Downstream Integration</w:t>
      </w:r>
    </w:p>
    <w:p>
      <w:pPr>
        <w:numPr>
          <w:ilvl w:val="2"/>
          <w:numId w:val="900"/>
        </w:numPr>
        <w:spacing w:before="0" w:after="0"/>
      </w:pPr>
      <w:r>
        <w:t>Supply Chain Benefits</w:t>
      </w:r>
    </w:p>
    <w:p>
      <w:pPr>
        <w:numPr>
          <w:ilvl w:val="1"/>
          <w:numId w:val="900"/>
        </w:numPr>
        <w:spacing w:before="0" w:after="0"/>
      </w:pPr>
      <w:r>
        <w:t>Conglomerate Mergers</w:t>
      </w:r>
    </w:p>
    <w:p>
      <w:pPr>
        <w:numPr>
          <w:ilvl w:val="2"/>
          <w:numId w:val="900"/>
        </w:numPr>
        <w:spacing w:before="0" w:after="0"/>
      </w:pPr>
      <w:r>
        <w:t>Diversification Benefits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2"/>
          <w:numId w:val="900"/>
        </w:numPr>
        <w:spacing w:before="0" w:after="0"/>
      </w:pPr>
      <w:r>
        <w:t>Portfolio Effects</w:t>
      </w:r>
    </w:p>
    <w:p>
      <w:pPr>
        <w:numPr>
          <w:ilvl w:val="0"/>
          <w:numId w:val="900"/>
        </w:numPr>
        <w:spacing w:before="0" w:after="0"/>
      </w:pPr>
      <w:r>
        <w:t>Classification by Transaction Attitude</w:t>
      </w:r>
    </w:p>
    <w:p>
      <w:pPr>
        <w:numPr>
          <w:ilvl w:val="1"/>
          <w:numId w:val="900"/>
        </w:numPr>
        <w:spacing w:before="0" w:after="0"/>
      </w:pPr>
      <w:r>
        <w:t>Friendly Takeovers</w:t>
      </w:r>
    </w:p>
    <w:p>
      <w:pPr>
        <w:numPr>
          <w:ilvl w:val="2"/>
          <w:numId w:val="900"/>
        </w:numPr>
        <w:spacing w:before="0" w:after="0"/>
      </w:pPr>
      <w:r>
        <w:t>Negotiated Transactions</w:t>
      </w:r>
    </w:p>
    <w:p>
      <w:pPr>
        <w:numPr>
          <w:ilvl w:val="2"/>
          <w:numId w:val="900"/>
        </w:numPr>
        <w:spacing w:before="0" w:after="0"/>
      </w:pPr>
      <w:r>
        <w:t>Board and Shareholder Approval</w:t>
      </w:r>
    </w:p>
    <w:p>
      <w:pPr>
        <w:numPr>
          <w:ilvl w:val="2"/>
          <w:numId w:val="900"/>
        </w:numPr>
        <w:spacing w:before="0" w:after="0"/>
      </w:pPr>
      <w:r>
        <w:t>Management Cooperation</w:t>
      </w:r>
    </w:p>
    <w:p>
      <w:pPr>
        <w:numPr>
          <w:ilvl w:val="1"/>
          <w:numId w:val="900"/>
        </w:numPr>
        <w:spacing w:before="0" w:after="0"/>
      </w:pPr>
      <w:r>
        <w:t>Hostile Takeovers</w:t>
      </w:r>
    </w:p>
    <w:p>
      <w:pPr>
        <w:numPr>
          <w:ilvl w:val="2"/>
          <w:numId w:val="900"/>
        </w:numPr>
        <w:spacing w:before="0" w:after="0"/>
      </w:pPr>
      <w:r>
        <w:t>Bypassing Management</w:t>
      </w:r>
    </w:p>
    <w:p>
      <w:pPr>
        <w:numPr>
          <w:ilvl w:val="2"/>
          <w:numId w:val="900"/>
        </w:numPr>
        <w:spacing w:before="0" w:after="0"/>
      </w:pPr>
      <w:r>
        <w:t>Direct Appeals to Shareholders</w:t>
      </w:r>
    </w:p>
    <w:p>
      <w:pPr>
        <w:numPr>
          <w:ilvl w:val="2"/>
          <w:numId w:val="900"/>
        </w:numPr>
        <w:spacing w:before="0" w:after="0"/>
      </w:pPr>
      <w:r>
        <w:t>Unsolicited Offers</w:t>
      </w:r>
    </w:p>
    <w:p>
      <w:pPr>
        <w:numPr>
          <w:ilvl w:val="0"/>
          <w:numId w:val="900"/>
        </w:numPr>
        <w:spacing w:before="0" w:after="0"/>
      </w:pPr>
      <w:r>
        <w:t>Classification by Form of Payment</w:t>
      </w:r>
    </w:p>
    <w:p>
      <w:pPr>
        <w:numPr>
          <w:ilvl w:val="1"/>
          <w:numId w:val="900"/>
        </w:numPr>
        <w:spacing w:before="0" w:after="0"/>
      </w:pPr>
      <w:r>
        <w:t>All-Cash Deals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Impact on Balance Sheet</w:t>
      </w:r>
    </w:p>
    <w:p>
      <w:pPr>
        <w:numPr>
          <w:ilvl w:val="2"/>
          <w:numId w:val="900"/>
        </w:numPr>
        <w:spacing w:before="0" w:after="0"/>
      </w:pPr>
      <w:r>
        <w:t>Immediate Liquidity for Sellers</w:t>
      </w:r>
    </w:p>
    <w:p>
      <w:pPr>
        <w:numPr>
          <w:ilvl w:val="1"/>
          <w:numId w:val="900"/>
        </w:numPr>
        <w:spacing w:before="0" w:after="0"/>
      </w:pPr>
      <w:r>
        <w:t>All-Stock Deals</w:t>
      </w:r>
    </w:p>
    <w:p>
      <w:pPr>
        <w:numPr>
          <w:ilvl w:val="2"/>
          <w:numId w:val="900"/>
        </w:numPr>
        <w:spacing w:before="0" w:after="0"/>
      </w:pPr>
      <w:r>
        <w:t>Share Exchange Ratios</w:t>
      </w:r>
    </w:p>
    <w:p>
      <w:pPr>
        <w:numPr>
          <w:ilvl w:val="2"/>
          <w:numId w:val="900"/>
        </w:numPr>
        <w:spacing w:before="0" w:after="0"/>
      </w:pPr>
      <w:r>
        <w:t>Dilution Considerations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1"/>
          <w:numId w:val="900"/>
        </w:numPr>
        <w:spacing w:before="0" w:after="0"/>
      </w:pPr>
      <w:r>
        <w:t>Mixed Consideration</w:t>
      </w:r>
    </w:p>
    <w:p>
      <w:pPr>
        <w:numPr>
          <w:ilvl w:val="2"/>
          <w:numId w:val="900"/>
        </w:numPr>
        <w:spacing w:before="0" w:after="0"/>
      </w:pPr>
      <w:r>
        <w:t>Structuring Hybrid Offers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pStyle w:val="Heading1"/>
      </w:pPr>
      <w:r>
        <w:t>The M&amp;A Process Lifecycle</w:t>
      </w:r>
    </w:p>
    <w:p>
      <w:pPr>
        <w:numPr>
          <w:ilvl w:val="0"/>
          <w:numId w:val="900"/>
        </w:numPr>
        <w:spacing w:before="0" w:after="0"/>
      </w:pPr>
      <w:r>
        <w:t>Phase 1: Pre-Acquisition Strategy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Internal Readiness Assessment</w:t>
      </w:r>
    </w:p>
    <w:p>
      <w:pPr>
        <w:numPr>
          <w:ilvl w:val="1"/>
          <w:numId w:val="900"/>
        </w:numPr>
        <w:spacing w:before="0" w:after="0"/>
      </w:pPr>
      <w:r>
        <w:t>Stakeholder Alignment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Phase 2: Target Identification and Screening</w:t>
      </w:r>
    </w:p>
    <w:p>
      <w:pPr>
        <w:numPr>
          <w:ilvl w:val="1"/>
          <w:numId w:val="900"/>
        </w:numPr>
        <w:spacing w:before="0" w:after="0"/>
      </w:pPr>
      <w:r>
        <w:t>Market Mapping</w:t>
      </w:r>
    </w:p>
    <w:p>
      <w:pPr>
        <w:numPr>
          <w:ilvl w:val="1"/>
          <w:numId w:val="900"/>
        </w:numPr>
        <w:spacing w:before="0" w:after="0"/>
      </w:pPr>
      <w:r>
        <w:t>Long List Development</w:t>
      </w:r>
    </w:p>
    <w:p>
      <w:pPr>
        <w:numPr>
          <w:ilvl w:val="1"/>
          <w:numId w:val="900"/>
        </w:numPr>
        <w:spacing w:before="0" w:after="0"/>
      </w:pPr>
      <w:r>
        <w:t>Short List Development</w:t>
      </w:r>
    </w:p>
    <w:p>
      <w:pPr>
        <w:numPr>
          <w:ilvl w:val="1"/>
          <w:numId w:val="900"/>
        </w:numPr>
        <w:spacing w:before="0" w:after="0"/>
      </w:pPr>
      <w:r>
        <w:t>Initial Outreach</w:t>
      </w:r>
    </w:p>
    <w:p>
      <w:pPr>
        <w:numPr>
          <w:ilvl w:val="0"/>
          <w:numId w:val="900"/>
        </w:numPr>
        <w:spacing w:before="0" w:after="0"/>
      </w:pPr>
      <w:r>
        <w:t>Phase 3: Valuation and Preliminary Due Diligence</w:t>
      </w:r>
    </w:p>
    <w:p>
      <w:pPr>
        <w:numPr>
          <w:ilvl w:val="1"/>
          <w:numId w:val="900"/>
        </w:numPr>
        <w:spacing w:before="0" w:after="0"/>
      </w:pPr>
      <w:r>
        <w:t>Gathering Public Information</w:t>
      </w:r>
    </w:p>
    <w:p>
      <w:pPr>
        <w:numPr>
          <w:ilvl w:val="1"/>
          <w:numId w:val="900"/>
        </w:numPr>
        <w:spacing w:before="0" w:after="0"/>
      </w:pPr>
      <w:r>
        <w:t>Initial Valuation Models</w:t>
      </w:r>
    </w:p>
    <w:p>
      <w:pPr>
        <w:numPr>
          <w:ilvl w:val="1"/>
          <w:numId w:val="900"/>
        </w:numPr>
        <w:spacing w:before="0" w:after="0"/>
      </w:pPr>
      <w:r>
        <w:t>High-Level Risk Assessment</w:t>
      </w:r>
    </w:p>
    <w:p>
      <w:pPr>
        <w:numPr>
          <w:ilvl w:val="1"/>
          <w:numId w:val="900"/>
        </w:numPr>
        <w:spacing w:before="0" w:after="0"/>
      </w:pPr>
      <w:r>
        <w:t>Preliminary Financial Analysis</w:t>
      </w:r>
    </w:p>
    <w:p>
      <w:pPr>
        <w:numPr>
          <w:ilvl w:val="0"/>
          <w:numId w:val="900"/>
        </w:numPr>
        <w:spacing w:before="0" w:after="0"/>
      </w:pPr>
      <w:r>
        <w:t>Phase 4: Negotiation and Deal Structuring</w:t>
      </w:r>
    </w:p>
    <w:p>
      <w:pPr>
        <w:numPr>
          <w:ilvl w:val="1"/>
          <w:numId w:val="900"/>
        </w:numPr>
        <w:spacing w:before="0" w:after="0"/>
      </w:pPr>
      <w:r>
        <w:t>Initial Contact and Discussions</w:t>
      </w:r>
    </w:p>
    <w:p>
      <w:pPr>
        <w:numPr>
          <w:ilvl w:val="1"/>
          <w:numId w:val="900"/>
        </w:numPr>
        <w:spacing w:before="0" w:after="0"/>
      </w:pPr>
      <w:r>
        <w:t>Non-Disclosure Agreements</w:t>
      </w:r>
    </w:p>
    <w:p>
      <w:pPr>
        <w:numPr>
          <w:ilvl w:val="1"/>
          <w:numId w:val="900"/>
        </w:numPr>
        <w:spacing w:before="0" w:after="0"/>
      </w:pPr>
      <w:r>
        <w:t>Preliminary Term Sheets</w:t>
      </w:r>
    </w:p>
    <w:p>
      <w:pPr>
        <w:numPr>
          <w:ilvl w:val="1"/>
          <w:numId w:val="900"/>
        </w:numPr>
        <w:spacing w:before="0" w:after="0"/>
      </w:pPr>
      <w:r>
        <w:t>Price Discovery</w:t>
      </w:r>
    </w:p>
    <w:p>
      <w:pPr>
        <w:numPr>
          <w:ilvl w:val="0"/>
          <w:numId w:val="900"/>
        </w:numPr>
        <w:spacing w:before="0" w:after="0"/>
      </w:pPr>
      <w:r>
        <w:t>Phase 5: Formal Due Diligence</w:t>
      </w:r>
    </w:p>
    <w:p>
      <w:pPr>
        <w:numPr>
          <w:ilvl w:val="1"/>
          <w:numId w:val="900"/>
        </w:numPr>
        <w:spacing w:before="0" w:after="0"/>
      </w:pPr>
      <w:r>
        <w:t>Comprehensive Data Collection</w:t>
      </w:r>
    </w:p>
    <w:p>
      <w:pPr>
        <w:numPr>
          <w:ilvl w:val="1"/>
          <w:numId w:val="900"/>
        </w:numPr>
        <w:spacing w:before="0" w:after="0"/>
      </w:pPr>
      <w:r>
        <w:t>Management Presentations</w:t>
      </w:r>
    </w:p>
    <w:p>
      <w:pPr>
        <w:numPr>
          <w:ilvl w:val="1"/>
          <w:numId w:val="900"/>
        </w:numPr>
        <w:spacing w:before="0" w:after="0"/>
      </w:pPr>
      <w:r>
        <w:t>Site Visits</w:t>
      </w:r>
    </w:p>
    <w:p>
      <w:pPr>
        <w:numPr>
          <w:ilvl w:val="1"/>
          <w:numId w:val="900"/>
        </w:numPr>
        <w:spacing w:before="0" w:after="0"/>
      </w:pPr>
      <w:r>
        <w:t>Expert Consultations</w:t>
      </w:r>
    </w:p>
    <w:p>
      <w:pPr>
        <w:numPr>
          <w:ilvl w:val="0"/>
          <w:numId w:val="900"/>
        </w:numPr>
        <w:spacing w:before="0" w:after="0"/>
      </w:pPr>
      <w:r>
        <w:t>Phase 6: Definitive Agreement and Closing</w:t>
      </w:r>
    </w:p>
    <w:p>
      <w:pPr>
        <w:numPr>
          <w:ilvl w:val="1"/>
          <w:numId w:val="900"/>
        </w:numPr>
        <w:spacing w:before="0" w:after="0"/>
      </w:pPr>
      <w:r>
        <w:t>Finalizing Legal Documents</w:t>
      </w:r>
    </w:p>
    <w:p>
      <w:pPr>
        <w:numPr>
          <w:ilvl w:val="1"/>
          <w:numId w:val="900"/>
        </w:numPr>
        <w:spacing w:before="0" w:after="0"/>
      </w:pPr>
      <w:r>
        <w:t>Obtaining Approvals</w:t>
      </w:r>
    </w:p>
    <w:p>
      <w:pPr>
        <w:numPr>
          <w:ilvl w:val="1"/>
          <w:numId w:val="900"/>
        </w:numPr>
        <w:spacing w:before="0" w:after="0"/>
      </w:pPr>
      <w:r>
        <w:t>Closing Mechanics</w:t>
      </w:r>
    </w:p>
    <w:p>
      <w:pPr>
        <w:numPr>
          <w:ilvl w:val="1"/>
          <w:numId w:val="900"/>
        </w:numPr>
        <w:spacing w:before="0" w:after="0"/>
      </w:pPr>
      <w:r>
        <w:t>Funding Arrangements</w:t>
      </w:r>
    </w:p>
    <w:p>
      <w:pPr>
        <w:numPr>
          <w:ilvl w:val="0"/>
          <w:numId w:val="900"/>
        </w:numPr>
        <w:spacing w:before="0" w:after="0"/>
      </w:pPr>
      <w:r>
        <w:t>Phase 7: Post-Merger Integration</w:t>
      </w:r>
    </w:p>
    <w:p>
      <w:pPr>
        <w:numPr>
          <w:ilvl w:val="1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Day-One Readiness</w:t>
      </w:r>
    </w:p>
    <w:p>
      <w:pPr>
        <w:numPr>
          <w:ilvl w:val="1"/>
          <w:numId w:val="900"/>
        </w:numPr>
        <w:spacing w:before="0" w:after="0"/>
      </w:pPr>
      <w:r>
        <w:t>Ongoing Integration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Business Valuation</w:t>
      </w:r>
    </w:p>
    <w:p>
      <w:pPr>
        <w:numPr>
          <w:ilvl w:val="0"/>
          <w:numId w:val="900"/>
        </w:numPr>
        <w:spacing w:before="0" w:after="0"/>
      </w:pPr>
      <w:r>
        <w:t>Core Principles of Valuation</w:t>
      </w:r>
    </w:p>
    <w:p>
      <w:pPr>
        <w:numPr>
          <w:ilvl w:val="1"/>
          <w:numId w:val="900"/>
        </w:numPr>
        <w:spacing w:before="0" w:after="0"/>
      </w:pPr>
      <w:r>
        <w:t>Intrinsic Value vs. Market Value</w:t>
      </w:r>
    </w:p>
    <w:p>
      <w:pPr>
        <w:numPr>
          <w:ilvl w:val="1"/>
          <w:numId w:val="900"/>
        </w:numPr>
        <w:spacing w:before="0" w:after="0"/>
      </w:pPr>
      <w:r>
        <w:t>Control Premium</w:t>
      </w:r>
    </w:p>
    <w:p>
      <w:pPr>
        <w:numPr>
          <w:ilvl w:val="1"/>
          <w:numId w:val="900"/>
        </w:numPr>
        <w:spacing w:before="0" w:after="0"/>
      </w:pPr>
      <w:r>
        <w:t>Synergy Value</w:t>
      </w:r>
    </w:p>
    <w:p>
      <w:pPr>
        <w:numPr>
          <w:ilvl w:val="1"/>
          <w:numId w:val="900"/>
        </w:numPr>
        <w:spacing w:before="0" w:after="0"/>
      </w:pPr>
      <w:r>
        <w:t>Liquidity Discount</w:t>
      </w:r>
    </w:p>
    <w:p>
      <w:pPr>
        <w:numPr>
          <w:ilvl w:val="1"/>
          <w:numId w:val="900"/>
        </w:numPr>
        <w:spacing w:before="0" w:after="0"/>
      </w:pPr>
      <w:r>
        <w:t>Minority Interest Discount</w:t>
      </w:r>
    </w:p>
    <w:p>
      <w:pPr>
        <w:numPr>
          <w:ilvl w:val="0"/>
          <w:numId w:val="900"/>
        </w:numPr>
        <w:spacing w:before="0" w:after="0"/>
      </w:pPr>
      <w:r>
        <w:t>Primary Valuation Methodologies</w:t>
      </w:r>
    </w:p>
    <w:p>
      <w:pPr>
        <w:numPr>
          <w:ilvl w:val="1"/>
          <w:numId w:val="900"/>
        </w:numPr>
        <w:spacing w:before="0" w:after="0"/>
      </w:pPr>
      <w:r>
        <w:t>Discounted Cash Flow Analysis</w:t>
      </w:r>
    </w:p>
    <w:p>
      <w:pPr>
        <w:numPr>
          <w:ilvl w:val="2"/>
          <w:numId w:val="900"/>
        </w:numPr>
        <w:spacing w:before="0" w:after="0"/>
      </w:pPr>
      <w:r>
        <w:t>Forecasting Free Cash Flows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Expense Forecasting</w:t>
      </w:r>
    </w:p>
    <w:p>
      <w:pPr>
        <w:numPr>
          <w:ilvl w:val="3"/>
          <w:numId w:val="900"/>
        </w:numPr>
        <w:spacing w:before="0" w:after="0"/>
      </w:pPr>
      <w:r>
        <w:t>Capital Expenditure Planning</w:t>
      </w:r>
    </w:p>
    <w:p>
      <w:pPr>
        <w:numPr>
          <w:ilvl w:val="3"/>
          <w:numId w:val="900"/>
        </w:numPr>
        <w:spacing w:before="0" w:after="0"/>
      </w:pPr>
      <w:r>
        <w:t>Working Capital Requirements</w:t>
      </w:r>
    </w:p>
    <w:p>
      <w:pPr>
        <w:numPr>
          <w:ilvl w:val="2"/>
          <w:numId w:val="900"/>
        </w:numPr>
        <w:spacing w:before="0" w:after="0"/>
      </w:pPr>
      <w:r>
        <w:t>Determining the Discount Rate</w:t>
      </w:r>
    </w:p>
    <w:p>
      <w:pPr>
        <w:numPr>
          <w:ilvl w:val="3"/>
          <w:numId w:val="900"/>
        </w:numPr>
        <w:spacing w:before="0" w:after="0"/>
      </w:pPr>
      <w:r>
        <w:t>Cost of Equity</w:t>
      </w:r>
    </w:p>
    <w:p>
      <w:pPr>
        <w:numPr>
          <w:ilvl w:val="3"/>
          <w:numId w:val="900"/>
        </w:numPr>
        <w:spacing w:before="0" w:after="0"/>
      </w:pPr>
      <w:r>
        <w:t>Cost of Debt</w:t>
      </w:r>
    </w:p>
    <w:p>
      <w:pPr>
        <w:numPr>
          <w:ilvl w:val="3"/>
          <w:numId w:val="900"/>
        </w:numPr>
        <w:spacing w:before="0" w:after="0"/>
      </w:pPr>
      <w:r>
        <w:t>Capital Structure Weights</w:t>
      </w:r>
    </w:p>
    <w:p>
      <w:pPr>
        <w:numPr>
          <w:ilvl w:val="3"/>
          <w:numId w:val="900"/>
        </w:numPr>
        <w:spacing w:before="0" w:after="0"/>
      </w:pPr>
      <w:r>
        <w:t>Risk Adjustments</w:t>
      </w:r>
    </w:p>
    <w:p>
      <w:pPr>
        <w:numPr>
          <w:ilvl w:val="2"/>
          <w:numId w:val="900"/>
        </w:numPr>
        <w:spacing w:before="0" w:after="0"/>
      </w:pPr>
      <w:r>
        <w:t>Calculating Terminal Value</w:t>
      </w:r>
    </w:p>
    <w:p>
      <w:pPr>
        <w:numPr>
          <w:ilvl w:val="3"/>
          <w:numId w:val="900"/>
        </w:numPr>
        <w:spacing w:before="0" w:after="0"/>
      </w:pPr>
      <w:r>
        <w:t>Perpetuity Growth Method</w:t>
      </w:r>
    </w:p>
    <w:p>
      <w:pPr>
        <w:numPr>
          <w:ilvl w:val="3"/>
          <w:numId w:val="900"/>
        </w:numPr>
        <w:spacing w:before="0" w:after="0"/>
      </w:pPr>
      <w:r>
        <w:t>Exit Multiple Method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Key Assumptions Testing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Comparable Company Analysis</w:t>
      </w:r>
    </w:p>
    <w:p>
      <w:pPr>
        <w:numPr>
          <w:ilvl w:val="2"/>
          <w:numId w:val="900"/>
        </w:numPr>
        <w:spacing w:before="0" w:after="0"/>
      </w:pPr>
      <w:r>
        <w:t>Selecting a Peer Group</w:t>
      </w:r>
    </w:p>
    <w:p>
      <w:pPr>
        <w:numPr>
          <w:ilvl w:val="3"/>
          <w:numId w:val="900"/>
        </w:numPr>
        <w:spacing w:before="0" w:after="0"/>
      </w:pPr>
      <w:r>
        <w:t>Industry Classification</w:t>
      </w:r>
    </w:p>
    <w:p>
      <w:pPr>
        <w:numPr>
          <w:ilvl w:val="3"/>
          <w:numId w:val="900"/>
        </w:numPr>
        <w:spacing w:before="0" w:after="0"/>
      </w:pPr>
      <w:r>
        <w:t>Size and Growth Profile</w:t>
      </w:r>
    </w:p>
    <w:p>
      <w:pPr>
        <w:numPr>
          <w:ilvl w:val="3"/>
          <w:numId w:val="900"/>
        </w:numPr>
        <w:spacing w:before="0" w:after="0"/>
      </w:pPr>
      <w:r>
        <w:t>Geographic Considerations</w:t>
      </w:r>
    </w:p>
    <w:p>
      <w:pPr>
        <w:numPr>
          <w:ilvl w:val="2"/>
          <w:numId w:val="900"/>
        </w:numPr>
        <w:spacing w:before="0" w:after="0"/>
      </w:pPr>
      <w:r>
        <w:t>Identifying and Calculating Multiples</w:t>
      </w:r>
    </w:p>
    <w:p>
      <w:pPr>
        <w:numPr>
          <w:ilvl w:val="3"/>
          <w:numId w:val="900"/>
        </w:numPr>
        <w:spacing w:before="0" w:after="0"/>
      </w:pPr>
      <w:r>
        <w:t>Enterprise Value Multiples</w:t>
      </w:r>
    </w:p>
    <w:p>
      <w:pPr>
        <w:numPr>
          <w:ilvl w:val="3"/>
          <w:numId w:val="900"/>
        </w:numPr>
        <w:spacing w:before="0" w:after="0"/>
      </w:pPr>
      <w:r>
        <w:t>Equity Value Multiples</w:t>
      </w:r>
    </w:p>
    <w:p>
      <w:pPr>
        <w:numPr>
          <w:ilvl w:val="3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Applying Multiples to Target Company</w:t>
      </w:r>
    </w:p>
    <w:p>
      <w:pPr>
        <w:numPr>
          <w:ilvl w:val="3"/>
          <w:numId w:val="900"/>
        </w:numPr>
        <w:spacing w:before="0" w:after="0"/>
      </w:pPr>
      <w:r>
        <w:t>Adjusting for Differences</w:t>
      </w:r>
    </w:p>
    <w:p>
      <w:pPr>
        <w:numPr>
          <w:ilvl w:val="3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Precedent Transaction Analysis</w:t>
      </w:r>
    </w:p>
    <w:p>
      <w:pPr>
        <w:numPr>
          <w:ilvl w:val="2"/>
          <w:numId w:val="900"/>
        </w:numPr>
        <w:spacing w:before="0" w:after="0"/>
      </w:pPr>
      <w:r>
        <w:t>Selecting Comparable Transactions</w:t>
      </w:r>
    </w:p>
    <w:p>
      <w:pPr>
        <w:numPr>
          <w:ilvl w:val="3"/>
          <w:numId w:val="900"/>
        </w:numPr>
        <w:spacing w:before="0" w:after="0"/>
      </w:pPr>
      <w:r>
        <w:t>Time Frame</w:t>
      </w:r>
    </w:p>
    <w:p>
      <w:pPr>
        <w:numPr>
          <w:ilvl w:val="3"/>
          <w:numId w:val="900"/>
        </w:numPr>
        <w:spacing w:before="0" w:after="0"/>
      </w:pPr>
      <w:r>
        <w:t>Deal Size and Type</w:t>
      </w:r>
    </w:p>
    <w:p>
      <w:pPr>
        <w:numPr>
          <w:ilvl w:val="3"/>
          <w:numId w:val="900"/>
        </w:numPr>
        <w:spacing w:before="0" w:after="0"/>
      </w:pPr>
      <w:r>
        <w:t>Geographic Scope</w:t>
      </w:r>
    </w:p>
    <w:p>
      <w:pPr>
        <w:numPr>
          <w:ilvl w:val="2"/>
          <w:numId w:val="900"/>
        </w:numPr>
        <w:spacing w:before="0" w:after="0"/>
      </w:pPr>
      <w:r>
        <w:t>Analyzing Transaction Multiples</w:t>
      </w:r>
    </w:p>
    <w:p>
      <w:pPr>
        <w:numPr>
          <w:ilvl w:val="3"/>
          <w:numId w:val="900"/>
        </w:numPr>
        <w:spacing w:before="0" w:after="0"/>
      </w:pPr>
      <w:r>
        <w:t>Premiums Paid</w:t>
      </w:r>
    </w:p>
    <w:p>
      <w:pPr>
        <w:numPr>
          <w:ilvl w:val="3"/>
          <w:numId w:val="900"/>
        </w:numPr>
        <w:spacing w:before="0" w:after="0"/>
      </w:pPr>
      <w:r>
        <w:t>Deal Structure Considerations</w:t>
      </w:r>
    </w:p>
    <w:p>
      <w:pPr>
        <w:numPr>
          <w:ilvl w:val="2"/>
          <w:numId w:val="900"/>
        </w:numPr>
        <w:spacing w:before="0" w:after="0"/>
      </w:pPr>
      <w:r>
        <w:t>Adjusting for Control Premiums</w:t>
      </w:r>
    </w:p>
    <w:p>
      <w:pPr>
        <w:numPr>
          <w:ilvl w:val="3"/>
          <w:numId w:val="900"/>
        </w:numPr>
        <w:spacing w:before="0" w:after="0"/>
      </w:pPr>
      <w:r>
        <w:t>Market Conditions</w:t>
      </w:r>
    </w:p>
    <w:p>
      <w:pPr>
        <w:numPr>
          <w:ilvl w:val="3"/>
          <w:numId w:val="900"/>
        </w:numPr>
        <w:spacing w:before="0" w:after="0"/>
      </w:pPr>
      <w:r>
        <w:t>Strategic vs. Financial Buyers</w:t>
      </w:r>
    </w:p>
    <w:p>
      <w:pPr>
        <w:numPr>
          <w:ilvl w:val="0"/>
          <w:numId w:val="900"/>
        </w:numPr>
        <w:spacing w:before="0" w:after="0"/>
      </w:pPr>
      <w:r>
        <w:t>Other Valuation Approaches</w:t>
      </w:r>
    </w:p>
    <w:p>
      <w:pPr>
        <w:numPr>
          <w:ilvl w:val="1"/>
          <w:numId w:val="900"/>
        </w:numPr>
        <w:spacing w:before="0" w:after="0"/>
      </w:pPr>
      <w:r>
        <w:t>Leveraged Buyout Analysis</w:t>
      </w:r>
    </w:p>
    <w:p>
      <w:pPr>
        <w:numPr>
          <w:ilvl w:val="2"/>
          <w:numId w:val="900"/>
        </w:numPr>
        <w:spacing w:before="0" w:after="0"/>
      </w:pPr>
      <w:r>
        <w:t>LBO Model Structure</w:t>
      </w:r>
    </w:p>
    <w:p>
      <w:pPr>
        <w:numPr>
          <w:ilvl w:val="2"/>
          <w:numId w:val="900"/>
        </w:numPr>
        <w:spacing w:before="0" w:after="0"/>
      </w:pPr>
      <w:r>
        <w:t>Key Assumptions</w:t>
      </w:r>
    </w:p>
    <w:p>
      <w:pPr>
        <w:numPr>
          <w:ilvl w:val="2"/>
          <w:numId w:val="900"/>
        </w:numPr>
        <w:spacing w:before="0" w:after="0"/>
      </w:pPr>
      <w:r>
        <w:t>Exit Scenarios</w:t>
      </w:r>
    </w:p>
    <w:p>
      <w:pPr>
        <w:numPr>
          <w:ilvl w:val="2"/>
          <w:numId w:val="900"/>
        </w:numPr>
        <w:spacing w:before="0" w:after="0"/>
      </w:pPr>
      <w:r>
        <w:t>Returns Analysis</w:t>
      </w:r>
    </w:p>
    <w:p>
      <w:pPr>
        <w:numPr>
          <w:ilvl w:val="1"/>
          <w:numId w:val="900"/>
        </w:numPr>
        <w:spacing w:before="0" w:after="0"/>
      </w:pPr>
      <w:r>
        <w:t>Asset-Based Valuation</w:t>
      </w:r>
    </w:p>
    <w:p>
      <w:pPr>
        <w:numPr>
          <w:ilvl w:val="2"/>
          <w:numId w:val="900"/>
        </w:numPr>
        <w:spacing w:before="0" w:after="0"/>
      </w:pPr>
      <w:r>
        <w:t>Book Value of Assets</w:t>
      </w:r>
    </w:p>
    <w:p>
      <w:pPr>
        <w:numPr>
          <w:ilvl w:val="2"/>
          <w:numId w:val="900"/>
        </w:numPr>
        <w:spacing w:before="0" w:after="0"/>
      </w:pPr>
      <w:r>
        <w:t>Adjusted Net Asset Value</w:t>
      </w:r>
    </w:p>
    <w:p>
      <w:pPr>
        <w:numPr>
          <w:ilvl w:val="2"/>
          <w:numId w:val="900"/>
        </w:numPr>
        <w:spacing w:before="0" w:after="0"/>
      </w:pPr>
      <w:r>
        <w:t>Liquidation Value</w:t>
      </w:r>
    </w:p>
    <w:p>
      <w:pPr>
        <w:numPr>
          <w:ilvl w:val="1"/>
          <w:numId w:val="900"/>
        </w:numPr>
        <w:spacing w:before="0" w:after="0"/>
      </w:pPr>
      <w:r>
        <w:t>Sum-of-the-Parts Analysis</w:t>
      </w:r>
    </w:p>
    <w:p>
      <w:pPr>
        <w:numPr>
          <w:ilvl w:val="2"/>
          <w:numId w:val="900"/>
        </w:numPr>
        <w:spacing w:before="0" w:after="0"/>
      </w:pPr>
      <w:r>
        <w:t>Valuing Business Segments Separately</w:t>
      </w:r>
    </w:p>
    <w:p>
      <w:pPr>
        <w:numPr>
          <w:ilvl w:val="2"/>
          <w:numId w:val="900"/>
        </w:numPr>
        <w:spacing w:before="0" w:after="0"/>
      </w:pPr>
      <w:r>
        <w:t>Aggregating Segment Values</w:t>
      </w:r>
    </w:p>
    <w:p>
      <w:pPr>
        <w:numPr>
          <w:ilvl w:val="2"/>
          <w:numId w:val="900"/>
        </w:numPr>
        <w:spacing w:before="0" w:after="0"/>
      </w:pPr>
      <w:r>
        <w:t>Conglomerate Discount</w:t>
      </w:r>
    </w:p>
    <w:p>
      <w:pPr>
        <w:pStyle w:val="Heading1"/>
      </w:pPr>
      <w:r>
        <w:t>Deal Structuring and Financing</w:t>
      </w:r>
    </w:p>
    <w:p>
      <w:pPr>
        <w:numPr>
          <w:ilvl w:val="0"/>
          <w:numId w:val="900"/>
        </w:numPr>
        <w:spacing w:before="0" w:after="0"/>
      </w:pPr>
      <w:r>
        <w:t>Legal Structures of Transactions</w:t>
      </w:r>
    </w:p>
    <w:p>
      <w:pPr>
        <w:numPr>
          <w:ilvl w:val="1"/>
          <w:numId w:val="900"/>
        </w:numPr>
        <w:spacing w:before="0" w:after="0"/>
      </w:pPr>
      <w:r>
        <w:t>Stock Purchase</w:t>
      </w:r>
    </w:p>
    <w:p>
      <w:pPr>
        <w:numPr>
          <w:ilvl w:val="2"/>
          <w:numId w:val="900"/>
        </w:numPr>
        <w:spacing w:before="0" w:after="0"/>
      </w:pPr>
      <w:r>
        <w:t>Transfer of Liabilities</w:t>
      </w:r>
    </w:p>
    <w:p>
      <w:pPr>
        <w:numPr>
          <w:ilvl w:val="2"/>
          <w:numId w:val="900"/>
        </w:numPr>
        <w:spacing w:before="0" w:after="0"/>
      </w:pPr>
      <w:r>
        <w:t>Shareholder Approvals</w:t>
      </w:r>
    </w:p>
    <w:p>
      <w:pPr>
        <w:numPr>
          <w:ilvl w:val="2"/>
          <w:numId w:val="900"/>
        </w:numPr>
        <w:spacing w:before="0" w:after="0"/>
      </w:pPr>
      <w:r>
        <w:t>Due Diligence Scope</w:t>
      </w:r>
    </w:p>
    <w:p>
      <w:pPr>
        <w:numPr>
          <w:ilvl w:val="1"/>
          <w:numId w:val="900"/>
        </w:numPr>
        <w:spacing w:before="0" w:after="0"/>
      </w:pPr>
      <w:r>
        <w:t>Asset Purchase</w:t>
      </w:r>
    </w:p>
    <w:p>
      <w:pPr>
        <w:numPr>
          <w:ilvl w:val="2"/>
          <w:numId w:val="900"/>
        </w:numPr>
        <w:spacing w:before="0" w:after="0"/>
      </w:pPr>
      <w:r>
        <w:t>Selection of Assets and Liabilities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Operational Considerations</w:t>
      </w:r>
    </w:p>
    <w:p>
      <w:pPr>
        <w:numPr>
          <w:ilvl w:val="1"/>
          <w:numId w:val="900"/>
        </w:numPr>
        <w:spacing w:before="0" w:after="0"/>
      </w:pPr>
      <w:r>
        <w:t>Merger Structures</w:t>
      </w:r>
    </w:p>
    <w:p>
      <w:pPr>
        <w:numPr>
          <w:ilvl w:val="2"/>
          <w:numId w:val="900"/>
        </w:numPr>
        <w:spacing w:before="0" w:after="0"/>
      </w:pPr>
      <w:r>
        <w:t>Direct Merger</w:t>
      </w:r>
    </w:p>
    <w:p>
      <w:pPr>
        <w:numPr>
          <w:ilvl w:val="2"/>
          <w:numId w:val="900"/>
        </w:numPr>
        <w:spacing w:before="0" w:after="0"/>
      </w:pPr>
      <w:r>
        <w:t>Forward Triangular Merger</w:t>
      </w:r>
    </w:p>
    <w:p>
      <w:pPr>
        <w:numPr>
          <w:ilvl w:val="2"/>
          <w:numId w:val="900"/>
        </w:numPr>
        <w:spacing w:before="0" w:after="0"/>
      </w:pPr>
      <w:r>
        <w:t>Reverse Triangular Merger</w:t>
      </w:r>
    </w:p>
    <w:p>
      <w:pPr>
        <w:numPr>
          <w:ilvl w:val="2"/>
          <w:numId w:val="900"/>
        </w:numPr>
        <w:spacing w:before="0" w:after="0"/>
      </w:pPr>
      <w:r>
        <w:t>Statutory Requirements</w:t>
      </w:r>
    </w:p>
    <w:p>
      <w:pPr>
        <w:numPr>
          <w:ilvl w:val="0"/>
          <w:numId w:val="900"/>
        </w:numPr>
        <w:spacing w:before="0" w:after="0"/>
      </w:pPr>
      <w:r>
        <w:t>Tax Considerations in Deal Structuring</w:t>
      </w:r>
    </w:p>
    <w:p>
      <w:pPr>
        <w:numPr>
          <w:ilvl w:val="1"/>
          <w:numId w:val="900"/>
        </w:numPr>
        <w:spacing w:before="0" w:after="0"/>
      </w:pPr>
      <w:r>
        <w:t>Taxable vs. Tax-Free Transactions</w:t>
      </w:r>
    </w:p>
    <w:p>
      <w:pPr>
        <w:numPr>
          <w:ilvl w:val="2"/>
          <w:numId w:val="900"/>
        </w:numPr>
        <w:spacing w:before="0" w:after="0"/>
      </w:pPr>
      <w:r>
        <w:t>IRS Requirements</w:t>
      </w:r>
    </w:p>
    <w:p>
      <w:pPr>
        <w:numPr>
          <w:ilvl w:val="2"/>
          <w:numId w:val="900"/>
        </w:numPr>
        <w:spacing w:before="0" w:after="0"/>
      </w:pPr>
      <w:r>
        <w:t>Shareholder Tax Consequences</w:t>
      </w:r>
    </w:p>
    <w:p>
      <w:pPr>
        <w:numPr>
          <w:ilvl w:val="2"/>
          <w:numId w:val="900"/>
        </w:numPr>
        <w:spacing w:before="0" w:after="0"/>
      </w:pPr>
      <w:r>
        <w:t>Reorganization Types</w:t>
      </w:r>
    </w:p>
    <w:p>
      <w:pPr>
        <w:numPr>
          <w:ilvl w:val="1"/>
          <w:numId w:val="900"/>
        </w:numPr>
        <w:spacing w:before="0" w:after="0"/>
      </w:pPr>
      <w:r>
        <w:t>Section 338 Election</w:t>
      </w:r>
    </w:p>
    <w:p>
      <w:pPr>
        <w:numPr>
          <w:ilvl w:val="2"/>
          <w:numId w:val="900"/>
        </w:numPr>
        <w:spacing w:before="0" w:after="0"/>
      </w:pPr>
      <w:r>
        <w:t>Eligibility Criteria</w:t>
      </w:r>
    </w:p>
    <w:p>
      <w:pPr>
        <w:numPr>
          <w:ilvl w:val="2"/>
          <w:numId w:val="900"/>
        </w:numPr>
        <w:spacing w:before="0" w:after="0"/>
      </w:pPr>
      <w:r>
        <w:t>Tax Impact</w:t>
      </w:r>
    </w:p>
    <w:p>
      <w:pPr>
        <w:numPr>
          <w:ilvl w:val="2"/>
          <w:numId w:val="900"/>
        </w:numPr>
        <w:spacing w:before="0" w:after="0"/>
      </w:pPr>
      <w:r>
        <w:t>Strategic Considerations</w:t>
      </w:r>
    </w:p>
    <w:p>
      <w:pPr>
        <w:numPr>
          <w:ilvl w:val="1"/>
          <w:numId w:val="900"/>
        </w:numPr>
        <w:spacing w:before="0" w:after="0"/>
      </w:pPr>
      <w:r>
        <w:t>Net Operating Losses</w:t>
      </w:r>
    </w:p>
    <w:p>
      <w:pPr>
        <w:numPr>
          <w:ilvl w:val="2"/>
          <w:numId w:val="900"/>
        </w:numPr>
        <w:spacing w:before="0" w:after="0"/>
      </w:pPr>
      <w:r>
        <w:t>Utilization Rules</w:t>
      </w:r>
    </w:p>
    <w:p>
      <w:pPr>
        <w:numPr>
          <w:ilvl w:val="2"/>
          <w:numId w:val="900"/>
        </w:numPr>
        <w:spacing w:before="0" w:after="0"/>
      </w:pPr>
      <w:r>
        <w:t>Section 382 Limitations</w:t>
      </w:r>
    </w:p>
    <w:p>
      <w:pPr>
        <w:numPr>
          <w:ilvl w:val="2"/>
          <w:numId w:val="900"/>
        </w:numPr>
        <w:spacing w:before="0" w:after="0"/>
      </w:pPr>
      <w:r>
        <w:t>Planning Strategies</w:t>
      </w:r>
    </w:p>
    <w:p>
      <w:pPr>
        <w:numPr>
          <w:ilvl w:val="0"/>
          <w:numId w:val="900"/>
        </w:numPr>
        <w:spacing w:before="0" w:after="0"/>
      </w:pPr>
      <w:r>
        <w:t>Financing the Acquisition</w:t>
      </w:r>
    </w:p>
    <w:p>
      <w:pPr>
        <w:numPr>
          <w:ilvl w:val="1"/>
          <w:numId w:val="900"/>
        </w:numPr>
        <w:spacing w:before="0" w:after="0"/>
      </w:pPr>
      <w:r>
        <w:t>Sources of Funds</w:t>
      </w:r>
    </w:p>
    <w:p>
      <w:pPr>
        <w:numPr>
          <w:ilvl w:val="2"/>
          <w:numId w:val="900"/>
        </w:numPr>
        <w:spacing w:before="0" w:after="0"/>
      </w:pPr>
      <w:r>
        <w:t>Cash on Hand</w:t>
      </w:r>
    </w:p>
    <w:p>
      <w:pPr>
        <w:numPr>
          <w:ilvl w:val="2"/>
          <w:numId w:val="900"/>
        </w:numPr>
        <w:spacing w:before="0" w:after="0"/>
      </w:pPr>
      <w:r>
        <w:t>Debt Financing</w:t>
      </w:r>
    </w:p>
    <w:p>
      <w:pPr>
        <w:numPr>
          <w:ilvl w:val="3"/>
          <w:numId w:val="900"/>
        </w:numPr>
        <w:spacing w:before="0" w:after="0"/>
      </w:pPr>
      <w:r>
        <w:t>Senior Debt</w:t>
      </w:r>
    </w:p>
    <w:p>
      <w:pPr>
        <w:numPr>
          <w:ilvl w:val="3"/>
          <w:numId w:val="900"/>
        </w:numPr>
        <w:spacing w:before="0" w:after="0"/>
      </w:pPr>
      <w:r>
        <w:t>Mezzanine Debt</w:t>
      </w:r>
    </w:p>
    <w:p>
      <w:pPr>
        <w:numPr>
          <w:ilvl w:val="3"/>
          <w:numId w:val="900"/>
        </w:numPr>
        <w:spacing w:before="0" w:after="0"/>
      </w:pPr>
      <w:r>
        <w:t>High-Yield Bonds</w:t>
      </w:r>
    </w:p>
    <w:p>
      <w:pPr>
        <w:numPr>
          <w:ilvl w:val="3"/>
          <w:numId w:val="900"/>
        </w:numPr>
        <w:spacing w:before="0" w:after="0"/>
      </w:pPr>
      <w:r>
        <w:t>Bridge Financing</w:t>
      </w:r>
    </w:p>
    <w:p>
      <w:pPr>
        <w:numPr>
          <w:ilvl w:val="2"/>
          <w:numId w:val="900"/>
        </w:numPr>
        <w:spacing w:before="0" w:after="0"/>
      </w:pPr>
      <w:r>
        <w:t>Equity Financing</w:t>
      </w:r>
    </w:p>
    <w:p>
      <w:pPr>
        <w:numPr>
          <w:ilvl w:val="3"/>
          <w:numId w:val="900"/>
        </w:numPr>
        <w:spacing w:before="0" w:after="0"/>
      </w:pPr>
      <w:r>
        <w:t>Issuing New Shares</w:t>
      </w:r>
    </w:p>
    <w:p>
      <w:pPr>
        <w:numPr>
          <w:ilvl w:val="3"/>
          <w:numId w:val="900"/>
        </w:numPr>
        <w:spacing w:before="0" w:after="0"/>
      </w:pPr>
      <w:r>
        <w:t>Private Placements</w:t>
      </w:r>
    </w:p>
    <w:p>
      <w:pPr>
        <w:numPr>
          <w:ilvl w:val="3"/>
          <w:numId w:val="900"/>
        </w:numPr>
        <w:spacing w:before="0" w:after="0"/>
      </w:pPr>
      <w:r>
        <w:t>Rights Offerings</w:t>
      </w:r>
    </w:p>
    <w:p>
      <w:pPr>
        <w:numPr>
          <w:ilvl w:val="1"/>
          <w:numId w:val="900"/>
        </w:numPr>
        <w:spacing w:before="0" w:after="0"/>
      </w:pPr>
      <w:r>
        <w:t>Impact on Capital Structure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2"/>
          <w:numId w:val="900"/>
        </w:numPr>
        <w:spacing w:before="0" w:after="0"/>
      </w:pPr>
      <w:r>
        <w:t>Credit Ratings</w:t>
      </w:r>
    </w:p>
    <w:p>
      <w:pPr>
        <w:numPr>
          <w:ilvl w:val="2"/>
          <w:numId w:val="900"/>
        </w:numPr>
        <w:spacing w:before="0" w:after="0"/>
      </w:pPr>
      <w:r>
        <w:t>Financial Flexibility</w:t>
      </w:r>
    </w:p>
    <w:p>
      <w:pPr>
        <w:numPr>
          <w:ilvl w:val="1"/>
          <w:numId w:val="900"/>
        </w:numPr>
        <w:spacing w:before="0" w:after="0"/>
      </w:pPr>
      <w:r>
        <w:t>Leveraged Buyouts</w:t>
      </w:r>
    </w:p>
    <w:p>
      <w:pPr>
        <w:numPr>
          <w:ilvl w:val="2"/>
          <w:numId w:val="900"/>
        </w:numPr>
        <w:spacing w:before="0" w:after="0"/>
      </w:pPr>
      <w:r>
        <w:t>LBO Structure</w:t>
      </w:r>
    </w:p>
    <w:p>
      <w:pPr>
        <w:numPr>
          <w:ilvl w:val="2"/>
          <w:numId w:val="900"/>
        </w:numPr>
        <w:spacing w:before="0" w:after="0"/>
      </w:pPr>
      <w:r>
        <w:t>Role of Private Equity</w:t>
      </w:r>
    </w:p>
    <w:p>
      <w:pPr>
        <w:numPr>
          <w:ilvl w:val="2"/>
          <w:numId w:val="900"/>
        </w:numPr>
        <w:spacing w:before="0" w:after="0"/>
      </w:pPr>
      <w:r>
        <w:t>Debt Service Requirements</w:t>
      </w:r>
    </w:p>
    <w:p>
      <w:pPr>
        <w:numPr>
          <w:ilvl w:val="2"/>
          <w:numId w:val="900"/>
        </w:numPr>
        <w:spacing w:before="0" w:after="0"/>
      </w:pPr>
      <w:r>
        <w:t>Covenant Considerations</w:t>
      </w:r>
    </w:p>
    <w:p>
      <w:pPr>
        <w:pStyle w:val="Heading1"/>
      </w:pPr>
      <w:r>
        <w:t>Due Diligence</w:t>
      </w:r>
    </w:p>
    <w:p>
      <w:pPr>
        <w:numPr>
          <w:ilvl w:val="0"/>
          <w:numId w:val="900"/>
        </w:numPr>
        <w:spacing w:before="0" w:after="0"/>
      </w:pPr>
      <w:r>
        <w:t>Purpose and Scope of Due Diligence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1"/>
          <w:numId w:val="900"/>
        </w:numPr>
        <w:spacing w:before="0" w:after="0"/>
      </w:pPr>
      <w:r>
        <w:t>Value Validation</w:t>
      </w:r>
    </w:p>
    <w:p>
      <w:pPr>
        <w:numPr>
          <w:ilvl w:val="1"/>
          <w:numId w:val="900"/>
        </w:numPr>
        <w:spacing w:before="0" w:after="0"/>
      </w:pPr>
      <w:r>
        <w:t>Deal Protection</w:t>
      </w:r>
    </w:p>
    <w:p>
      <w:pPr>
        <w:numPr>
          <w:ilvl w:val="1"/>
          <w:numId w:val="900"/>
        </w:numPr>
        <w:spacing w:before="0" w:after="0"/>
      </w:pPr>
      <w:r>
        <w:t>Integration Planning</w:t>
      </w:r>
    </w:p>
    <w:p>
      <w:pPr>
        <w:numPr>
          <w:ilvl w:val="0"/>
          <w:numId w:val="900"/>
        </w:numPr>
        <w:spacing w:before="0" w:after="0"/>
      </w:pPr>
      <w:r>
        <w:t>Key Areas of Investigation</w:t>
      </w:r>
    </w:p>
    <w:p>
      <w:pPr>
        <w:numPr>
          <w:ilvl w:val="1"/>
          <w:numId w:val="900"/>
        </w:numPr>
        <w:spacing w:before="0" w:after="0"/>
      </w:pPr>
      <w:r>
        <w:t>Financial Due Diligence</w:t>
      </w:r>
    </w:p>
    <w:p>
      <w:pPr>
        <w:numPr>
          <w:ilvl w:val="2"/>
          <w:numId w:val="900"/>
        </w:numPr>
        <w:spacing w:before="0" w:after="0"/>
      </w:pPr>
      <w:r>
        <w:t>Quality of Earnings Analysis</w:t>
      </w:r>
    </w:p>
    <w:p>
      <w:pPr>
        <w:numPr>
          <w:ilvl w:val="2"/>
          <w:numId w:val="900"/>
        </w:numPr>
        <w:spacing w:before="0" w:after="0"/>
      </w:pPr>
      <w:r>
        <w:t>Working Capital Analysis</w:t>
      </w:r>
    </w:p>
    <w:p>
      <w:pPr>
        <w:numPr>
          <w:ilvl w:val="2"/>
          <w:numId w:val="900"/>
        </w:numPr>
        <w:spacing w:before="0" w:after="0"/>
      </w:pPr>
      <w:r>
        <w:t>Review of Financial Projections</w:t>
      </w:r>
    </w:p>
    <w:p>
      <w:pPr>
        <w:numPr>
          <w:ilvl w:val="2"/>
          <w:numId w:val="900"/>
        </w:numPr>
        <w:spacing w:before="0" w:after="0"/>
      </w:pPr>
      <w:r>
        <w:t>Debt and Debt-like Items</w:t>
      </w:r>
    </w:p>
    <w:p>
      <w:pPr>
        <w:numPr>
          <w:ilvl w:val="2"/>
          <w:numId w:val="900"/>
        </w:numPr>
        <w:spacing w:before="0" w:after="0"/>
      </w:pPr>
      <w:r>
        <w:t>Off-Balance Sheet Liabilities</w:t>
      </w:r>
    </w:p>
    <w:p>
      <w:pPr>
        <w:numPr>
          <w:ilvl w:val="2"/>
          <w:numId w:val="900"/>
        </w:numPr>
        <w:spacing w:before="0" w:after="0"/>
      </w:pPr>
      <w:r>
        <w:t>Tax Position Review</w:t>
      </w:r>
    </w:p>
    <w:p>
      <w:pPr>
        <w:numPr>
          <w:ilvl w:val="1"/>
          <w:numId w:val="900"/>
        </w:numPr>
        <w:spacing w:before="0" w:after="0"/>
      </w:pPr>
      <w:r>
        <w:t>Legal Due Diligence</w:t>
      </w:r>
    </w:p>
    <w:p>
      <w:pPr>
        <w:numPr>
          <w:ilvl w:val="2"/>
          <w:numId w:val="900"/>
        </w:numPr>
        <w:spacing w:before="0" w:after="0"/>
      </w:pPr>
      <w:r>
        <w:t>Corporate Records and Structure</w:t>
      </w:r>
    </w:p>
    <w:p>
      <w:pPr>
        <w:numPr>
          <w:ilvl w:val="2"/>
          <w:numId w:val="900"/>
        </w:numPr>
        <w:spacing w:before="0" w:after="0"/>
      </w:pPr>
      <w:r>
        <w:t>Contracts and Commitments</w:t>
      </w:r>
    </w:p>
    <w:p>
      <w:pPr>
        <w:numPr>
          <w:ilvl w:val="2"/>
          <w:numId w:val="900"/>
        </w:numPr>
        <w:spacing w:before="0" w:after="0"/>
      </w:pPr>
      <w:r>
        <w:t>Litigation and Contingent Liabilities</w:t>
      </w:r>
    </w:p>
    <w:p>
      <w:pPr>
        <w:numPr>
          <w:ilvl w:val="2"/>
          <w:numId w:val="900"/>
        </w:numPr>
        <w:spacing w:before="0" w:after="0"/>
      </w:pPr>
      <w:r>
        <w:t>Intellectual Property Rights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Environmental Liabilities</w:t>
      </w:r>
    </w:p>
    <w:p>
      <w:pPr>
        <w:numPr>
          <w:ilvl w:val="1"/>
          <w:numId w:val="900"/>
        </w:numPr>
        <w:spacing w:before="0" w:after="0"/>
      </w:pPr>
      <w:r>
        <w:t>Operational Due Diligence</w:t>
      </w:r>
    </w:p>
    <w:p>
      <w:pPr>
        <w:numPr>
          <w:ilvl w:val="2"/>
          <w:numId w:val="900"/>
        </w:numPr>
        <w:spacing w:before="0" w:after="0"/>
      </w:pPr>
      <w:r>
        <w:t>Technology and IT Systems</w:t>
      </w:r>
    </w:p>
    <w:p>
      <w:pPr>
        <w:numPr>
          <w:ilvl w:val="2"/>
          <w:numId w:val="900"/>
        </w:numPr>
        <w:spacing w:before="0" w:after="0"/>
      </w:pPr>
      <w:r>
        <w:t>Human Resources and Employee Relations</w:t>
      </w:r>
    </w:p>
    <w:p>
      <w:pPr>
        <w:numPr>
          <w:ilvl w:val="2"/>
          <w:numId w:val="900"/>
        </w:numPr>
        <w:spacing w:before="0" w:after="0"/>
      </w:pPr>
      <w:r>
        <w:t>Supply Chain and Operations</w:t>
      </w:r>
    </w:p>
    <w:p>
      <w:pPr>
        <w:numPr>
          <w:ilvl w:val="2"/>
          <w:numId w:val="900"/>
        </w:numPr>
        <w:spacing w:before="0" w:after="0"/>
      </w:pPr>
      <w:r>
        <w:t>Sales and Marketing</w:t>
      </w:r>
    </w:p>
    <w:p>
      <w:pPr>
        <w:numPr>
          <w:ilvl w:val="2"/>
          <w:numId w:val="900"/>
        </w:numPr>
        <w:spacing w:before="0" w:after="0"/>
      </w:pPr>
      <w:r>
        <w:t>Facilities and Real Estate</w:t>
      </w:r>
    </w:p>
    <w:p>
      <w:pPr>
        <w:numPr>
          <w:ilvl w:val="2"/>
          <w:numId w:val="900"/>
        </w:numPr>
        <w:spacing w:before="0" w:after="0"/>
      </w:pPr>
      <w:r>
        <w:t>Management Assessment</w:t>
      </w:r>
    </w:p>
    <w:p>
      <w:pPr>
        <w:numPr>
          <w:ilvl w:val="1"/>
          <w:numId w:val="900"/>
        </w:numPr>
        <w:spacing w:before="0" w:after="0"/>
      </w:pPr>
      <w:r>
        <w:t>Commercial Due Diligence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2"/>
          <w:numId w:val="900"/>
        </w:numPr>
        <w:spacing w:before="0" w:after="0"/>
      </w:pPr>
      <w:r>
        <w:t>Customer Analysis</w:t>
      </w:r>
    </w:p>
    <w:p>
      <w:pPr>
        <w:numPr>
          <w:ilvl w:val="2"/>
          <w:numId w:val="900"/>
        </w:numPr>
        <w:spacing w:before="0" w:after="0"/>
      </w:pPr>
      <w:r>
        <w:t>Industry Trends</w:t>
      </w:r>
    </w:p>
    <w:p>
      <w:pPr>
        <w:numPr>
          <w:ilvl w:val="2"/>
          <w:numId w:val="900"/>
        </w:numPr>
        <w:spacing w:before="0" w:after="0"/>
      </w:pPr>
      <w:r>
        <w:t>Growth Prospects</w:t>
      </w:r>
    </w:p>
    <w:p>
      <w:pPr>
        <w:numPr>
          <w:ilvl w:val="0"/>
          <w:numId w:val="900"/>
        </w:numPr>
        <w:spacing w:before="0" w:after="0"/>
      </w:pPr>
      <w:r>
        <w:t>The Due Diligence Process</w:t>
      </w:r>
    </w:p>
    <w:p>
      <w:pPr>
        <w:numPr>
          <w:ilvl w:val="1"/>
          <w:numId w:val="900"/>
        </w:numPr>
        <w:spacing w:before="0" w:after="0"/>
      </w:pPr>
      <w:r>
        <w:t>Data Room Management</w:t>
      </w:r>
    </w:p>
    <w:p>
      <w:pPr>
        <w:numPr>
          <w:ilvl w:val="2"/>
          <w:numId w:val="900"/>
        </w:numPr>
        <w:spacing w:before="0" w:after="0"/>
      </w:pPr>
      <w:r>
        <w:t>Virtual Data Rooms</w:t>
      </w:r>
    </w:p>
    <w:p>
      <w:pPr>
        <w:numPr>
          <w:ilvl w:val="2"/>
          <w:numId w:val="900"/>
        </w:numPr>
        <w:spacing w:before="0" w:after="0"/>
      </w:pPr>
      <w:r>
        <w:t>Document Indexing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Q&amp;A Process</w:t>
      </w:r>
    </w:p>
    <w:p>
      <w:pPr>
        <w:numPr>
          <w:ilvl w:val="2"/>
          <w:numId w:val="900"/>
        </w:numPr>
        <w:spacing w:before="0" w:after="0"/>
      </w:pPr>
      <w:r>
        <w:t>Management Q&amp;A Sessions</w:t>
      </w:r>
    </w:p>
    <w:p>
      <w:pPr>
        <w:numPr>
          <w:ilvl w:val="2"/>
          <w:numId w:val="900"/>
        </w:numPr>
        <w:spacing w:before="0" w:after="0"/>
      </w:pPr>
      <w:r>
        <w:t>Follow-Up Requests</w:t>
      </w:r>
    </w:p>
    <w:p>
      <w:pPr>
        <w:numPr>
          <w:ilvl w:val="2"/>
          <w:numId w:val="900"/>
        </w:numPr>
        <w:spacing w:before="0" w:after="0"/>
      </w:pPr>
      <w:r>
        <w:t>Information Verification</w:t>
      </w:r>
    </w:p>
    <w:p>
      <w:pPr>
        <w:numPr>
          <w:ilvl w:val="1"/>
          <w:numId w:val="900"/>
        </w:numPr>
        <w:spacing w:before="0" w:after="0"/>
      </w:pPr>
      <w:r>
        <w:t>Expert Reports</w:t>
      </w:r>
    </w:p>
    <w:p>
      <w:pPr>
        <w:numPr>
          <w:ilvl w:val="2"/>
          <w:numId w:val="900"/>
        </w:numPr>
        <w:spacing w:before="0" w:after="0"/>
      </w:pPr>
      <w:r>
        <w:t>Third-Party Advisors</w:t>
      </w:r>
    </w:p>
    <w:p>
      <w:pPr>
        <w:numPr>
          <w:ilvl w:val="2"/>
          <w:numId w:val="900"/>
        </w:numPr>
        <w:spacing w:before="0" w:after="0"/>
      </w:pPr>
      <w:r>
        <w:t>Specialist Opinions</w:t>
      </w:r>
    </w:p>
    <w:p>
      <w:pPr>
        <w:numPr>
          <w:ilvl w:val="2"/>
          <w:numId w:val="900"/>
        </w:numPr>
        <w:spacing w:before="0" w:after="0"/>
      </w:pPr>
      <w:r>
        <w:t>Independent Assessments</w:t>
      </w:r>
    </w:p>
    <w:p>
      <w:pPr>
        <w:pStyle w:val="Heading1"/>
      </w:pPr>
      <w:r>
        <w:t>Negotiation and Definitive Agreements</w:t>
      </w:r>
    </w:p>
    <w:p>
      <w:pPr>
        <w:numPr>
          <w:ilvl w:val="0"/>
          <w:numId w:val="900"/>
        </w:numPr>
        <w:spacing w:before="0" w:after="0"/>
      </w:pPr>
      <w:r>
        <w:t>The Negotiation Process</w:t>
      </w:r>
    </w:p>
    <w:p>
      <w:pPr>
        <w:numPr>
          <w:ilvl w:val="1"/>
          <w:numId w:val="900"/>
        </w:numPr>
        <w:spacing w:before="0" w:after="0"/>
      </w:pPr>
      <w:r>
        <w:t>Initial Approach and Indication of Interest</w:t>
      </w:r>
    </w:p>
    <w:p>
      <w:pPr>
        <w:numPr>
          <w:ilvl w:val="1"/>
          <w:numId w:val="900"/>
        </w:numPr>
        <w:spacing w:before="0" w:after="0"/>
      </w:pPr>
      <w:r>
        <w:t>Letter of Intent and Term Sheet</w:t>
      </w:r>
    </w:p>
    <w:p>
      <w:pPr>
        <w:numPr>
          <w:ilvl w:val="1"/>
          <w:numId w:val="900"/>
        </w:numPr>
        <w:spacing w:before="0" w:after="0"/>
      </w:pPr>
      <w:r>
        <w:t>Key Negotiating Points</w:t>
      </w:r>
    </w:p>
    <w:p>
      <w:pPr>
        <w:numPr>
          <w:ilvl w:val="2"/>
          <w:numId w:val="900"/>
        </w:numPr>
        <w:spacing w:before="0" w:after="0"/>
      </w:pPr>
      <w:r>
        <w:t>Price and Form of Consideration</w:t>
      </w:r>
    </w:p>
    <w:p>
      <w:pPr>
        <w:numPr>
          <w:ilvl w:val="2"/>
          <w:numId w:val="900"/>
        </w:numPr>
        <w:spacing w:before="0" w:after="0"/>
      </w:pPr>
      <w:r>
        <w:t>Representations and Warranties</w:t>
      </w:r>
    </w:p>
    <w:p>
      <w:pPr>
        <w:numPr>
          <w:ilvl w:val="2"/>
          <w:numId w:val="900"/>
        </w:numPr>
        <w:spacing w:before="0" w:after="0"/>
      </w:pPr>
      <w:r>
        <w:t>Covenants</w:t>
      </w:r>
    </w:p>
    <w:p>
      <w:pPr>
        <w:numPr>
          <w:ilvl w:val="3"/>
          <w:numId w:val="900"/>
        </w:numPr>
        <w:spacing w:before="0" w:after="0"/>
      </w:pPr>
      <w:r>
        <w:t>Affirmative Covenants</w:t>
      </w:r>
    </w:p>
    <w:p>
      <w:pPr>
        <w:numPr>
          <w:ilvl w:val="3"/>
          <w:numId w:val="900"/>
        </w:numPr>
        <w:spacing w:before="0" w:after="0"/>
      </w:pPr>
      <w:r>
        <w:t>Negative Covenants</w:t>
      </w:r>
    </w:p>
    <w:p>
      <w:pPr>
        <w:numPr>
          <w:ilvl w:val="2"/>
          <w:numId w:val="900"/>
        </w:numPr>
        <w:spacing w:before="0" w:after="0"/>
      </w:pPr>
      <w:r>
        <w:t>Closing Conditions</w:t>
      </w:r>
    </w:p>
    <w:p>
      <w:pPr>
        <w:numPr>
          <w:ilvl w:val="2"/>
          <w:numId w:val="900"/>
        </w:numPr>
        <w:spacing w:before="0" w:after="0"/>
      </w:pPr>
      <w:r>
        <w:t>Termination Rights and Break-up Fees</w:t>
      </w:r>
    </w:p>
    <w:p>
      <w:pPr>
        <w:numPr>
          <w:ilvl w:val="2"/>
          <w:numId w:val="900"/>
        </w:numPr>
        <w:spacing w:before="0" w:after="0"/>
      </w:pPr>
      <w:r>
        <w:t>Material Adverse Change Clauses</w:t>
      </w:r>
    </w:p>
    <w:p>
      <w:pPr>
        <w:numPr>
          <w:ilvl w:val="2"/>
          <w:numId w:val="900"/>
        </w:numPr>
        <w:spacing w:before="0" w:after="0"/>
      </w:pPr>
      <w:r>
        <w:t>Indemnification Provisions</w:t>
      </w:r>
    </w:p>
    <w:p>
      <w:pPr>
        <w:numPr>
          <w:ilvl w:val="0"/>
          <w:numId w:val="900"/>
        </w:numPr>
        <w:spacing w:before="0" w:after="0"/>
      </w:pPr>
      <w:r>
        <w:t>The Definitive Merger Agreement</w:t>
      </w:r>
    </w:p>
    <w:p>
      <w:pPr>
        <w:numPr>
          <w:ilvl w:val="1"/>
          <w:numId w:val="900"/>
        </w:numPr>
        <w:spacing w:before="0" w:after="0"/>
      </w:pPr>
      <w:r>
        <w:t>Key Sections and Clauses</w:t>
      </w:r>
    </w:p>
    <w:p>
      <w:pPr>
        <w:numPr>
          <w:ilvl w:val="2"/>
          <w:numId w:val="900"/>
        </w:numPr>
        <w:spacing w:before="0" w:after="0"/>
      </w:pPr>
      <w:r>
        <w:t>Purchase Price Provisions</w:t>
      </w:r>
    </w:p>
    <w:p>
      <w:pPr>
        <w:numPr>
          <w:ilvl w:val="2"/>
          <w:numId w:val="900"/>
        </w:numPr>
        <w:spacing w:before="0" w:after="0"/>
      </w:pPr>
      <w:r>
        <w:t>Representations and Warranties</w:t>
      </w:r>
    </w:p>
    <w:p>
      <w:pPr>
        <w:numPr>
          <w:ilvl w:val="2"/>
          <w:numId w:val="900"/>
        </w:numPr>
        <w:spacing w:before="0" w:after="0"/>
      </w:pPr>
      <w:r>
        <w:t>Covenants</w:t>
      </w:r>
    </w:p>
    <w:p>
      <w:pPr>
        <w:numPr>
          <w:ilvl w:val="2"/>
          <w:numId w:val="900"/>
        </w:numPr>
        <w:spacing w:before="0" w:after="0"/>
      </w:pPr>
      <w:r>
        <w:t>Conditions Precedent</w:t>
      </w:r>
    </w:p>
    <w:p>
      <w:pPr>
        <w:numPr>
          <w:ilvl w:val="2"/>
          <w:numId w:val="900"/>
        </w:numPr>
        <w:spacing w:before="0" w:after="0"/>
      </w:pPr>
      <w:r>
        <w:t>Termination Provisions</w:t>
      </w:r>
    </w:p>
    <w:p>
      <w:pPr>
        <w:numPr>
          <w:ilvl w:val="2"/>
          <w:numId w:val="900"/>
        </w:numPr>
        <w:spacing w:before="0" w:after="0"/>
      </w:pPr>
      <w:r>
        <w:t>Indemnification and Escrow</w:t>
      </w:r>
    </w:p>
    <w:p>
      <w:pPr>
        <w:numPr>
          <w:ilvl w:val="1"/>
          <w:numId w:val="900"/>
        </w:numPr>
        <w:spacing w:before="0" w:after="0"/>
      </w:pPr>
      <w:r>
        <w:t>Role of Legal Counsel in Drafting</w:t>
      </w:r>
    </w:p>
    <w:p>
      <w:pPr>
        <w:numPr>
          <w:ilvl w:val="2"/>
          <w:numId w:val="900"/>
        </w:numPr>
        <w:spacing w:before="0" w:after="0"/>
      </w:pPr>
      <w:r>
        <w:t>Negotiating Terms</w:t>
      </w:r>
    </w:p>
    <w:p>
      <w:pPr>
        <w:numPr>
          <w:ilvl w:val="2"/>
          <w:numId w:val="900"/>
        </w:numPr>
        <w:spacing w:before="0" w:after="0"/>
      </w:pPr>
      <w:r>
        <w:t>Ensuring Compliance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0"/>
          <w:numId w:val="900"/>
        </w:numPr>
        <w:spacing w:before="0" w:after="0"/>
      </w:pPr>
      <w:r>
        <w:t>Ancillary Agreements</w:t>
      </w:r>
    </w:p>
    <w:p>
      <w:pPr>
        <w:numPr>
          <w:ilvl w:val="1"/>
          <w:numId w:val="900"/>
        </w:numPr>
        <w:spacing w:before="0" w:after="0"/>
      </w:pPr>
      <w:r>
        <w:t>Employment Agreements</w:t>
      </w:r>
    </w:p>
    <w:p>
      <w:pPr>
        <w:numPr>
          <w:ilvl w:val="1"/>
          <w:numId w:val="900"/>
        </w:numPr>
        <w:spacing w:before="0" w:after="0"/>
      </w:pPr>
      <w:r>
        <w:t>Non-Compete Agreements</w:t>
      </w:r>
    </w:p>
    <w:p>
      <w:pPr>
        <w:numPr>
          <w:ilvl w:val="1"/>
          <w:numId w:val="900"/>
        </w:numPr>
        <w:spacing w:before="0" w:after="0"/>
      </w:pPr>
      <w:r>
        <w:t>Escrow Agreements</w:t>
      </w:r>
    </w:p>
    <w:p>
      <w:pPr>
        <w:numPr>
          <w:ilvl w:val="1"/>
          <w:numId w:val="900"/>
        </w:numPr>
        <w:spacing w:before="0" w:after="0"/>
      </w:pPr>
      <w:r>
        <w:t>Transition Services Agreements</w:t>
      </w:r>
    </w:p>
    <w:p>
      <w:pPr>
        <w:numPr>
          <w:ilvl w:val="1"/>
          <w:numId w:val="900"/>
        </w:numPr>
        <w:spacing w:before="0" w:after="0"/>
      </w:pPr>
      <w:r>
        <w:t>Voting Agreements</w:t>
      </w:r>
    </w:p>
    <w:p>
      <w:pPr>
        <w:pStyle w:val="Heading1"/>
      </w:pPr>
      <w:r>
        <w:t>Takeover Tactics and Defenses</w:t>
      </w:r>
    </w:p>
    <w:p>
      <w:pPr>
        <w:numPr>
          <w:ilvl w:val="0"/>
          <w:numId w:val="900"/>
        </w:numPr>
        <w:spacing w:before="0" w:after="0"/>
      </w:pPr>
      <w:r>
        <w:t>Hostile Takeover Strategies</w:t>
      </w:r>
    </w:p>
    <w:p>
      <w:pPr>
        <w:numPr>
          <w:ilvl w:val="1"/>
          <w:numId w:val="900"/>
        </w:numPr>
        <w:spacing w:before="0" w:after="0"/>
      </w:pPr>
      <w:r>
        <w:t>Tender Offer</w:t>
      </w:r>
    </w:p>
    <w:p>
      <w:pPr>
        <w:numPr>
          <w:ilvl w:val="2"/>
          <w:numId w:val="900"/>
        </w:numPr>
        <w:spacing w:before="0" w:after="0"/>
      </w:pPr>
      <w:r>
        <w:t>Direct Offers to Shareholders</w:t>
      </w:r>
    </w:p>
    <w:p>
      <w:pPr>
        <w:numPr>
          <w:ilvl w:val="2"/>
          <w:numId w:val="900"/>
        </w:numPr>
        <w:spacing w:before="0" w:after="0"/>
      </w:pPr>
      <w:r>
        <w:t>Minimum Acceptance Conditions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Proxy Fight</w:t>
      </w:r>
    </w:p>
    <w:p>
      <w:pPr>
        <w:numPr>
          <w:ilvl w:val="2"/>
          <w:numId w:val="900"/>
        </w:numPr>
        <w:spacing w:before="0" w:after="0"/>
      </w:pPr>
      <w:r>
        <w:t>Soliciting Shareholder Votes</w:t>
      </w:r>
    </w:p>
    <w:p>
      <w:pPr>
        <w:numPr>
          <w:ilvl w:val="2"/>
          <w:numId w:val="900"/>
        </w:numPr>
        <w:spacing w:before="0" w:after="0"/>
      </w:pPr>
      <w:r>
        <w:t>Replacing Board Members</w:t>
      </w:r>
    </w:p>
    <w:p>
      <w:pPr>
        <w:numPr>
          <w:ilvl w:val="2"/>
          <w:numId w:val="900"/>
        </w:numPr>
        <w:spacing w:before="0" w:after="0"/>
      </w:pPr>
      <w:r>
        <w:t>Activist Campaigns</w:t>
      </w:r>
    </w:p>
    <w:p>
      <w:pPr>
        <w:numPr>
          <w:ilvl w:val="1"/>
          <w:numId w:val="900"/>
        </w:numPr>
        <w:spacing w:before="0" w:after="0"/>
      </w:pPr>
      <w:r>
        <w:t>Creeping Acquisition</w:t>
      </w:r>
    </w:p>
    <w:p>
      <w:pPr>
        <w:numPr>
          <w:ilvl w:val="2"/>
          <w:numId w:val="900"/>
        </w:numPr>
        <w:spacing w:before="0" w:after="0"/>
      </w:pPr>
      <w:r>
        <w:t>Gradual Share Accumulation</w:t>
      </w:r>
    </w:p>
    <w:p>
      <w:pPr>
        <w:numPr>
          <w:ilvl w:val="2"/>
          <w:numId w:val="900"/>
        </w:numPr>
        <w:spacing w:before="0" w:after="0"/>
      </w:pPr>
      <w:r>
        <w:t>Disclosure Thresholds</w:t>
      </w:r>
    </w:p>
    <w:p>
      <w:pPr>
        <w:numPr>
          <w:ilvl w:val="0"/>
          <w:numId w:val="900"/>
        </w:numPr>
        <w:spacing w:before="0" w:after="0"/>
      </w:pPr>
      <w:r>
        <w:t>Defensive Measures</w:t>
      </w:r>
    </w:p>
    <w:p>
      <w:pPr>
        <w:numPr>
          <w:ilvl w:val="1"/>
          <w:numId w:val="900"/>
        </w:numPr>
        <w:spacing w:before="0" w:after="0"/>
      </w:pPr>
      <w:r>
        <w:t>Pre-Offer Defenses</w:t>
      </w:r>
    </w:p>
    <w:p>
      <w:pPr>
        <w:numPr>
          <w:ilvl w:val="2"/>
          <w:numId w:val="900"/>
        </w:numPr>
        <w:spacing w:before="0" w:after="0"/>
      </w:pPr>
      <w:r>
        <w:t>Poison Pill</w:t>
      </w:r>
    </w:p>
    <w:p>
      <w:pPr>
        <w:numPr>
          <w:ilvl w:val="2"/>
          <w:numId w:val="900"/>
        </w:numPr>
        <w:spacing w:before="0" w:after="0"/>
      </w:pPr>
      <w:r>
        <w:t>Staggered Board of Directors</w:t>
      </w:r>
    </w:p>
    <w:p>
      <w:pPr>
        <w:numPr>
          <w:ilvl w:val="2"/>
          <w:numId w:val="900"/>
        </w:numPr>
        <w:spacing w:before="0" w:after="0"/>
      </w:pPr>
      <w:r>
        <w:t>Supermajority Provisions</w:t>
      </w:r>
    </w:p>
    <w:p>
      <w:pPr>
        <w:numPr>
          <w:ilvl w:val="2"/>
          <w:numId w:val="900"/>
        </w:numPr>
        <w:spacing w:before="0" w:after="0"/>
      </w:pPr>
      <w:r>
        <w:t>Dual-Class Share Structures</w:t>
      </w:r>
    </w:p>
    <w:p>
      <w:pPr>
        <w:numPr>
          <w:ilvl w:val="2"/>
          <w:numId w:val="900"/>
        </w:numPr>
        <w:spacing w:before="0" w:after="0"/>
      </w:pPr>
      <w:r>
        <w:t>Golden Parachutes</w:t>
      </w:r>
    </w:p>
    <w:p>
      <w:pPr>
        <w:numPr>
          <w:ilvl w:val="2"/>
          <w:numId w:val="900"/>
        </w:numPr>
        <w:spacing w:before="0" w:after="0"/>
      </w:pPr>
      <w:r>
        <w:t>Fair Price Provisions</w:t>
      </w:r>
    </w:p>
    <w:p>
      <w:pPr>
        <w:numPr>
          <w:ilvl w:val="1"/>
          <w:numId w:val="900"/>
        </w:numPr>
        <w:spacing w:before="0" w:after="0"/>
      </w:pPr>
      <w:r>
        <w:t>Post-Offer Defenses</w:t>
      </w:r>
    </w:p>
    <w:p>
      <w:pPr>
        <w:numPr>
          <w:ilvl w:val="2"/>
          <w:numId w:val="900"/>
        </w:numPr>
        <w:spacing w:before="0" w:after="0"/>
      </w:pPr>
      <w:r>
        <w:t>White Knight</w:t>
      </w:r>
    </w:p>
    <w:p>
      <w:pPr>
        <w:numPr>
          <w:ilvl w:val="2"/>
          <w:numId w:val="900"/>
        </w:numPr>
        <w:spacing w:before="0" w:after="0"/>
      </w:pPr>
      <w:r>
        <w:t>White Squire</w:t>
      </w:r>
    </w:p>
    <w:p>
      <w:pPr>
        <w:numPr>
          <w:ilvl w:val="2"/>
          <w:numId w:val="900"/>
        </w:numPr>
        <w:spacing w:before="0" w:after="0"/>
      </w:pPr>
      <w:r>
        <w:t>Pac-Man Defense</w:t>
      </w:r>
    </w:p>
    <w:p>
      <w:pPr>
        <w:numPr>
          <w:ilvl w:val="2"/>
          <w:numId w:val="900"/>
        </w:numPr>
        <w:spacing w:before="0" w:after="0"/>
      </w:pPr>
      <w:r>
        <w:t>Crown Jewel Defense</w:t>
      </w:r>
    </w:p>
    <w:p>
      <w:pPr>
        <w:numPr>
          <w:ilvl w:val="2"/>
          <w:numId w:val="900"/>
        </w:numPr>
        <w:spacing w:before="0" w:after="0"/>
      </w:pPr>
      <w:r>
        <w:t>Leveraged Recapitalization</w:t>
      </w:r>
    </w:p>
    <w:p>
      <w:pPr>
        <w:numPr>
          <w:ilvl w:val="2"/>
          <w:numId w:val="900"/>
        </w:numPr>
        <w:spacing w:before="0" w:after="0"/>
      </w:pPr>
      <w:r>
        <w:t>Litigation and Regulatory Challenges</w:t>
      </w:r>
    </w:p>
    <w:p>
      <w:pPr>
        <w:numPr>
          <w:ilvl w:val="1"/>
          <w:numId w:val="900"/>
        </w:numPr>
        <w:spacing w:before="0" w:after="0"/>
      </w:pPr>
      <w:r>
        <w:t>Board Duties in Takeover Situations</w:t>
      </w:r>
    </w:p>
    <w:p>
      <w:pPr>
        <w:numPr>
          <w:ilvl w:val="2"/>
          <w:numId w:val="900"/>
        </w:numPr>
        <w:spacing w:before="0" w:after="0"/>
      </w:pPr>
      <w:r>
        <w:t>Fiduciary Responsibilities</w:t>
      </w:r>
    </w:p>
    <w:p>
      <w:pPr>
        <w:numPr>
          <w:ilvl w:val="2"/>
          <w:numId w:val="900"/>
        </w:numPr>
        <w:spacing w:before="0" w:after="0"/>
      </w:pPr>
      <w:r>
        <w:t>Business Judgment Rule</w:t>
      </w:r>
    </w:p>
    <w:p>
      <w:pPr>
        <w:numPr>
          <w:ilvl w:val="2"/>
          <w:numId w:val="900"/>
        </w:numPr>
        <w:spacing w:before="0" w:after="0"/>
      </w:pPr>
      <w:r>
        <w:t>Enhanced Scrutiny Standards</w:t>
      </w:r>
    </w:p>
    <w:p>
      <w:pPr>
        <w:pStyle w:val="Heading1"/>
      </w:pPr>
      <w:r>
        <w:t>Regulatory and Legal Framework</w:t>
      </w:r>
    </w:p>
    <w:p>
      <w:pPr>
        <w:numPr>
          <w:ilvl w:val="0"/>
          <w:numId w:val="900"/>
        </w:numPr>
        <w:spacing w:before="0" w:after="0"/>
      </w:pPr>
      <w:r>
        <w:t>Antitrust and Competition Law</w:t>
      </w:r>
    </w:p>
    <w:p>
      <w:pPr>
        <w:numPr>
          <w:ilvl w:val="1"/>
          <w:numId w:val="900"/>
        </w:numPr>
        <w:spacing w:before="0" w:after="0"/>
      </w:pPr>
      <w:r>
        <w:t>Hart-Scott-Rodino Act in the U.S.</w:t>
      </w:r>
    </w:p>
    <w:p>
      <w:pPr>
        <w:numPr>
          <w:ilvl w:val="2"/>
          <w:numId w:val="900"/>
        </w:numPr>
        <w:spacing w:before="0" w:after="0"/>
      </w:pPr>
      <w:r>
        <w:t>Filing Requirements</w:t>
      </w:r>
    </w:p>
    <w:p>
      <w:pPr>
        <w:numPr>
          <w:ilvl w:val="2"/>
          <w:numId w:val="900"/>
        </w:numPr>
        <w:spacing w:before="0" w:after="0"/>
      </w:pPr>
      <w:r>
        <w:t>Waiting Periods</w:t>
      </w:r>
    </w:p>
    <w:p>
      <w:pPr>
        <w:numPr>
          <w:ilvl w:val="2"/>
          <w:numId w:val="900"/>
        </w:numPr>
        <w:spacing w:before="0" w:after="0"/>
      </w:pPr>
      <w:r>
        <w:t>Exemptions</w:t>
      </w:r>
    </w:p>
    <w:p>
      <w:pPr>
        <w:numPr>
          <w:ilvl w:val="1"/>
          <w:numId w:val="900"/>
        </w:numPr>
        <w:spacing w:before="0" w:after="0"/>
      </w:pPr>
      <w:r>
        <w:t>Competition Authorities</w:t>
      </w:r>
    </w:p>
    <w:p>
      <w:pPr>
        <w:numPr>
          <w:ilvl w:val="2"/>
          <w:numId w:val="900"/>
        </w:numPr>
        <w:spacing w:before="0" w:after="0"/>
      </w:pPr>
      <w:r>
        <w:t>Department of Justice</w:t>
      </w:r>
    </w:p>
    <w:p>
      <w:pPr>
        <w:numPr>
          <w:ilvl w:val="2"/>
          <w:numId w:val="900"/>
        </w:numPr>
        <w:spacing w:before="0" w:after="0"/>
      </w:pPr>
      <w:r>
        <w:t>Federal Trade Commission</w:t>
      </w:r>
    </w:p>
    <w:p>
      <w:pPr>
        <w:numPr>
          <w:ilvl w:val="2"/>
          <w:numId w:val="900"/>
        </w:numPr>
        <w:spacing w:before="0" w:after="0"/>
      </w:pPr>
      <w:r>
        <w:t>European Commission</w:t>
      </w:r>
    </w:p>
    <w:p>
      <w:pPr>
        <w:numPr>
          <w:ilvl w:val="2"/>
          <w:numId w:val="900"/>
        </w:numPr>
        <w:spacing w:before="0" w:after="0"/>
      </w:pPr>
      <w:r>
        <w:t>Other Jurisdictions</w:t>
      </w:r>
    </w:p>
    <w:p>
      <w:pPr>
        <w:numPr>
          <w:ilvl w:val="1"/>
          <w:numId w:val="900"/>
        </w:numPr>
        <w:spacing w:before="0" w:after="0"/>
      </w:pPr>
      <w:r>
        <w:t>Market Concentration Analysis</w:t>
      </w:r>
    </w:p>
    <w:p>
      <w:pPr>
        <w:numPr>
          <w:ilvl w:val="2"/>
          <w:numId w:val="900"/>
        </w:numPr>
        <w:spacing w:before="0" w:after="0"/>
      </w:pPr>
      <w:r>
        <w:t>Herfindahl-Hirschman Index</w:t>
      </w:r>
    </w:p>
    <w:p>
      <w:pPr>
        <w:numPr>
          <w:ilvl w:val="2"/>
          <w:numId w:val="900"/>
        </w:numPr>
        <w:spacing w:before="0" w:after="0"/>
      </w:pPr>
      <w:r>
        <w:t>Market Definition</w:t>
      </w:r>
    </w:p>
    <w:p>
      <w:pPr>
        <w:numPr>
          <w:ilvl w:val="2"/>
          <w:numId w:val="900"/>
        </w:numPr>
        <w:spacing w:before="0" w:after="0"/>
      </w:pPr>
      <w:r>
        <w:t>Competitive Effects Analysis</w:t>
      </w:r>
    </w:p>
    <w:p>
      <w:pPr>
        <w:numPr>
          <w:ilvl w:val="2"/>
          <w:numId w:val="900"/>
        </w:numPr>
        <w:spacing w:before="0" w:after="0"/>
      </w:pPr>
      <w:r>
        <w:t>Remedies and Divestitures</w:t>
      </w:r>
    </w:p>
    <w:p>
      <w:pPr>
        <w:numPr>
          <w:ilvl w:val="0"/>
          <w:numId w:val="900"/>
        </w:numPr>
        <w:spacing w:before="0" w:after="0"/>
      </w:pPr>
      <w:r>
        <w:t>Securities Law</w:t>
      </w:r>
    </w:p>
    <w:p>
      <w:pPr>
        <w:numPr>
          <w:ilvl w:val="1"/>
          <w:numId w:val="900"/>
        </w:numPr>
        <w:spacing w:before="0" w:after="0"/>
      </w:pPr>
      <w:r>
        <w:t>Tender Offer Rules</w:t>
      </w:r>
    </w:p>
    <w:p>
      <w:pPr>
        <w:numPr>
          <w:ilvl w:val="2"/>
          <w:numId w:val="900"/>
        </w:numPr>
        <w:spacing w:before="0" w:after="0"/>
      </w:pPr>
      <w:r>
        <w:t>Williams Act</w:t>
      </w:r>
    </w:p>
    <w:p>
      <w:pPr>
        <w:numPr>
          <w:ilvl w:val="2"/>
          <w:numId w:val="900"/>
        </w:numPr>
        <w:spacing w:before="0" w:after="0"/>
      </w:pPr>
      <w:r>
        <w:t>Filing Requirements</w:t>
      </w:r>
    </w:p>
    <w:p>
      <w:pPr>
        <w:numPr>
          <w:ilvl w:val="2"/>
          <w:numId w:val="900"/>
        </w:numPr>
        <w:spacing w:before="0" w:after="0"/>
      </w:pPr>
      <w:r>
        <w:t>Disclosure Obligations</w:t>
      </w:r>
    </w:p>
    <w:p>
      <w:pPr>
        <w:numPr>
          <w:ilvl w:val="1"/>
          <w:numId w:val="900"/>
        </w:numPr>
        <w:spacing w:before="0" w:after="0"/>
      </w:pPr>
      <w:r>
        <w:t>Proxy Solicitation Rules</w:t>
      </w:r>
    </w:p>
    <w:p>
      <w:pPr>
        <w:numPr>
          <w:ilvl w:val="2"/>
          <w:numId w:val="900"/>
        </w:numPr>
        <w:spacing w:before="0" w:after="0"/>
      </w:pPr>
      <w:r>
        <w:t>SEC Regulations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Schedule 13D</w:t>
      </w:r>
    </w:p>
    <w:p>
      <w:pPr>
        <w:numPr>
          <w:ilvl w:val="2"/>
          <w:numId w:val="900"/>
        </w:numPr>
        <w:spacing w:before="0" w:after="0"/>
      </w:pPr>
      <w:r>
        <w:t>Form 8-K</w:t>
      </w:r>
    </w:p>
    <w:p>
      <w:pPr>
        <w:numPr>
          <w:ilvl w:val="2"/>
          <w:numId w:val="900"/>
        </w:numPr>
        <w:spacing w:before="0" w:after="0"/>
      </w:pPr>
      <w:r>
        <w:t>Other SEC Filings</w:t>
      </w:r>
    </w:p>
    <w:p>
      <w:pPr>
        <w:numPr>
          <w:ilvl w:val="0"/>
          <w:numId w:val="900"/>
        </w:numPr>
        <w:spacing w:before="0" w:after="0"/>
      </w:pPr>
      <w:r>
        <w:t>Shareholder Rights and Fiduciary Duties</w:t>
      </w:r>
    </w:p>
    <w:p>
      <w:pPr>
        <w:numPr>
          <w:ilvl w:val="1"/>
          <w:numId w:val="900"/>
        </w:numPr>
        <w:spacing w:before="0" w:after="0"/>
      </w:pPr>
      <w:r>
        <w:t>Board of Directors' Responsibilities</w:t>
      </w:r>
    </w:p>
    <w:p>
      <w:pPr>
        <w:numPr>
          <w:ilvl w:val="2"/>
          <w:numId w:val="900"/>
        </w:numPr>
        <w:spacing w:before="0" w:after="0"/>
      </w:pPr>
      <w:r>
        <w:t>Duty of Care</w:t>
      </w:r>
    </w:p>
    <w:p>
      <w:pPr>
        <w:numPr>
          <w:ilvl w:val="2"/>
          <w:numId w:val="900"/>
        </w:numPr>
        <w:spacing w:before="0" w:after="0"/>
      </w:pPr>
      <w:r>
        <w:t>Duty of Loyalty</w:t>
      </w:r>
    </w:p>
    <w:p>
      <w:pPr>
        <w:numPr>
          <w:ilvl w:val="2"/>
          <w:numId w:val="900"/>
        </w:numPr>
        <w:spacing w:before="0" w:after="0"/>
      </w:pPr>
      <w:r>
        <w:t>Business Judgment Rule</w:t>
      </w:r>
    </w:p>
    <w:p>
      <w:pPr>
        <w:numPr>
          <w:ilvl w:val="1"/>
          <w:numId w:val="900"/>
        </w:numPr>
        <w:spacing w:before="0" w:after="0"/>
      </w:pPr>
      <w:r>
        <w:t>Revlon Duties</w:t>
      </w:r>
    </w:p>
    <w:p>
      <w:pPr>
        <w:numPr>
          <w:ilvl w:val="2"/>
          <w:numId w:val="900"/>
        </w:numPr>
        <w:spacing w:before="0" w:after="0"/>
      </w:pPr>
      <w:r>
        <w:t>Maximizing Shareholder Value in a Sale</w:t>
      </w:r>
    </w:p>
    <w:p>
      <w:pPr>
        <w:numPr>
          <w:ilvl w:val="2"/>
          <w:numId w:val="900"/>
        </w:numPr>
        <w:spacing w:before="0" w:after="0"/>
      </w:pPr>
      <w:r>
        <w:t>Auction Process Requirements</w:t>
      </w:r>
    </w:p>
    <w:p>
      <w:pPr>
        <w:numPr>
          <w:ilvl w:val="1"/>
          <w:numId w:val="900"/>
        </w:numPr>
        <w:spacing w:before="0" w:after="0"/>
      </w:pPr>
      <w:r>
        <w:t>Shareholder Litigation</w:t>
      </w:r>
    </w:p>
    <w:p>
      <w:pPr>
        <w:numPr>
          <w:ilvl w:val="2"/>
          <w:numId w:val="900"/>
        </w:numPr>
        <w:spacing w:before="0" w:after="0"/>
      </w:pPr>
      <w:r>
        <w:t>Class Action Suits</w:t>
      </w:r>
    </w:p>
    <w:p>
      <w:pPr>
        <w:numPr>
          <w:ilvl w:val="2"/>
          <w:numId w:val="900"/>
        </w:numPr>
        <w:spacing w:before="0" w:after="0"/>
      </w:pPr>
      <w:r>
        <w:t>Appraisal Rights</w:t>
      </w:r>
    </w:p>
    <w:p>
      <w:pPr>
        <w:numPr>
          <w:ilvl w:val="2"/>
          <w:numId w:val="900"/>
        </w:numPr>
        <w:spacing w:before="0" w:after="0"/>
      </w:pPr>
      <w:r>
        <w:t>Derivative Actions</w:t>
      </w:r>
    </w:p>
    <w:p>
      <w:pPr>
        <w:pStyle w:val="Heading1"/>
      </w:pPr>
      <w:r>
        <w:t>Post-Merger Integration</w:t>
      </w:r>
    </w:p>
    <w:p>
      <w:pPr>
        <w:numPr>
          <w:ilvl w:val="0"/>
          <w:numId w:val="900"/>
        </w:numPr>
        <w:spacing w:before="0" w:after="0"/>
      </w:pPr>
      <w:r>
        <w:t>The Importance of Integration</w:t>
      </w:r>
    </w:p>
    <w:p>
      <w:pPr>
        <w:numPr>
          <w:ilvl w:val="1"/>
          <w:numId w:val="900"/>
        </w:numPr>
        <w:spacing w:before="0" w:after="0"/>
      </w:pPr>
      <w:r>
        <w:t>Impact on Deal Success</w:t>
      </w:r>
    </w:p>
    <w:p>
      <w:pPr>
        <w:numPr>
          <w:ilvl w:val="1"/>
          <w:numId w:val="900"/>
        </w:numPr>
        <w:spacing w:before="0" w:after="0"/>
      </w:pPr>
      <w:r>
        <w:t>Common Integration Challenges</w:t>
      </w:r>
    </w:p>
    <w:p>
      <w:pPr>
        <w:numPr>
          <w:ilvl w:val="1"/>
          <w:numId w:val="900"/>
        </w:numPr>
        <w:spacing w:before="0" w:after="0"/>
      </w:pPr>
      <w:r>
        <w:t>Critical Success Factors</w:t>
      </w:r>
    </w:p>
    <w:p>
      <w:pPr>
        <w:numPr>
          <w:ilvl w:val="0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Pre-Close Planning</w:t>
      </w:r>
    </w:p>
    <w:p>
      <w:pPr>
        <w:numPr>
          <w:ilvl w:val="2"/>
          <w:numId w:val="900"/>
        </w:numPr>
        <w:spacing w:before="0" w:after="0"/>
      </w:pPr>
      <w:r>
        <w:t>Early Integration Assessment</w:t>
      </w:r>
    </w:p>
    <w:p>
      <w:pPr>
        <w:numPr>
          <w:ilvl w:val="2"/>
          <w:numId w:val="900"/>
        </w:numPr>
        <w:spacing w:before="0" w:after="0"/>
      </w:pPr>
      <w:r>
        <w:t>Day-One Planning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Establishing an Integration Management Office</w:t>
      </w:r>
    </w:p>
    <w:p>
      <w:pPr>
        <w:numPr>
          <w:ilvl w:val="2"/>
          <w:numId w:val="900"/>
        </w:numPr>
        <w:spacing w:before="0" w:after="0"/>
      </w:pPr>
      <w:r>
        <w:t>IMO Structure and Roles</w:t>
      </w:r>
    </w:p>
    <w:p>
      <w:pPr>
        <w:numPr>
          <w:ilvl w:val="2"/>
          <w:numId w:val="900"/>
        </w:numPr>
        <w:spacing w:before="0" w:after="0"/>
      </w:pPr>
      <w:r>
        <w:t>Integration Leadership</w:t>
      </w:r>
    </w:p>
    <w:p>
      <w:pPr>
        <w:numPr>
          <w:ilvl w:val="2"/>
          <w:numId w:val="900"/>
        </w:numPr>
        <w:spacing w:before="0" w:after="0"/>
      </w:pPr>
      <w:r>
        <w:t>Governance Framework</w:t>
      </w:r>
    </w:p>
    <w:p>
      <w:pPr>
        <w:numPr>
          <w:ilvl w:val="1"/>
          <w:numId w:val="900"/>
        </w:numPr>
        <w:spacing w:before="0" w:after="0"/>
      </w:pPr>
      <w:r>
        <w:t>Defining Integration Strategy and Guiding Principles</w:t>
      </w:r>
    </w:p>
    <w:p>
      <w:pPr>
        <w:numPr>
          <w:ilvl w:val="2"/>
          <w:numId w:val="900"/>
        </w:numPr>
        <w:spacing w:before="0" w:after="0"/>
      </w:pPr>
      <w:r>
        <w:t>Setting Integration Objectives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Key Integration Workstreams</w:t>
      </w:r>
    </w:p>
    <w:p>
      <w:pPr>
        <w:numPr>
          <w:ilvl w:val="1"/>
          <w:numId w:val="900"/>
        </w:numPr>
        <w:spacing w:before="0" w:after="0"/>
      </w:pPr>
      <w:r>
        <w:t>Organizational Structure and Leadership Selection</w:t>
      </w:r>
    </w:p>
    <w:p>
      <w:pPr>
        <w:numPr>
          <w:ilvl w:val="2"/>
          <w:numId w:val="900"/>
        </w:numPr>
        <w:spacing w:before="0" w:after="0"/>
      </w:pPr>
      <w:r>
        <w:t>Organizational Design</w:t>
      </w:r>
    </w:p>
    <w:p>
      <w:pPr>
        <w:numPr>
          <w:ilvl w:val="2"/>
          <w:numId w:val="900"/>
        </w:numPr>
        <w:spacing w:before="0" w:after="0"/>
      </w:pPr>
      <w:r>
        <w:t>Key Personnel Decisions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1"/>
          <w:numId w:val="900"/>
        </w:numPr>
        <w:spacing w:before="0" w:after="0"/>
      </w:pPr>
      <w:r>
        <w:t>Culture and Communications</w:t>
      </w:r>
    </w:p>
    <w:p>
      <w:pPr>
        <w:numPr>
          <w:ilvl w:val="2"/>
          <w:numId w:val="900"/>
        </w:numPr>
        <w:spacing w:before="0" w:after="0"/>
      </w:pPr>
      <w:r>
        <w:t>Cultural Assessment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Employee Communications</w:t>
      </w:r>
    </w:p>
    <w:p>
      <w:pPr>
        <w:numPr>
          <w:ilvl w:val="1"/>
          <w:numId w:val="900"/>
        </w:numPr>
        <w:spacing w:before="0" w:after="0"/>
      </w:pPr>
      <w:r>
        <w:t>IT Systems and Infrastructure</w:t>
      </w:r>
    </w:p>
    <w:p>
      <w:pPr>
        <w:numPr>
          <w:ilvl w:val="2"/>
          <w:numId w:val="900"/>
        </w:numPr>
        <w:spacing w:before="0" w:after="0"/>
      </w:pPr>
      <w:r>
        <w:t>Systems Integration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Technology Rationalization</w:t>
      </w:r>
    </w:p>
    <w:p>
      <w:pPr>
        <w:numPr>
          <w:ilvl w:val="1"/>
          <w:numId w:val="900"/>
        </w:numPr>
        <w:spacing w:before="0" w:after="0"/>
      </w:pPr>
      <w:r>
        <w:t>Finance and Accounting Systems</w:t>
      </w:r>
    </w:p>
    <w:p>
      <w:pPr>
        <w:numPr>
          <w:ilvl w:val="2"/>
          <w:numId w:val="900"/>
        </w:numPr>
        <w:spacing w:before="0" w:after="0"/>
      </w:pPr>
      <w:r>
        <w:t>Chart of Accounts Alignment</w:t>
      </w:r>
    </w:p>
    <w:p>
      <w:pPr>
        <w:numPr>
          <w:ilvl w:val="2"/>
          <w:numId w:val="900"/>
        </w:numPr>
        <w:spacing w:before="0" w:after="0"/>
      </w:pPr>
      <w:r>
        <w:t>Financial Reporting Integration</w:t>
      </w:r>
    </w:p>
    <w:p>
      <w:pPr>
        <w:numPr>
          <w:ilvl w:val="2"/>
          <w:numId w:val="900"/>
        </w:numPr>
        <w:spacing w:before="0" w:after="0"/>
      </w:pPr>
      <w:r>
        <w:t>Control Environment</w:t>
      </w:r>
    </w:p>
    <w:p>
      <w:pPr>
        <w:numPr>
          <w:ilvl w:val="1"/>
          <w:numId w:val="900"/>
        </w:numPr>
        <w:spacing w:before="0" w:after="0"/>
      </w:pPr>
      <w:r>
        <w:t>Sales, Marketing, and Operations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Product and Service Alignment</w:t>
      </w:r>
    </w:p>
    <w:p>
      <w:pPr>
        <w:numPr>
          <w:ilvl w:val="2"/>
          <w:numId w:val="900"/>
        </w:numPr>
        <w:spacing w:before="0" w:after="0"/>
      </w:pPr>
      <w:r>
        <w:t>Channel Integration</w:t>
      </w:r>
    </w:p>
    <w:p>
      <w:pPr>
        <w:numPr>
          <w:ilvl w:val="0"/>
          <w:numId w:val="900"/>
        </w:numPr>
        <w:spacing w:before="0" w:after="0"/>
      </w:pPr>
      <w:r>
        <w:t>Realizing Synergies</w:t>
      </w:r>
    </w:p>
    <w:p>
      <w:pPr>
        <w:numPr>
          <w:ilvl w:val="1"/>
          <w:numId w:val="900"/>
        </w:numPr>
        <w:spacing w:before="0" w:after="0"/>
      </w:pPr>
      <w:r>
        <w:t>Tracking and Measuring Synergy Capture</w:t>
      </w:r>
    </w:p>
    <w:p>
      <w:pPr>
        <w:numPr>
          <w:ilvl w:val="2"/>
          <w:numId w:val="900"/>
        </w:numPr>
        <w:spacing w:before="0" w:after="0"/>
      </w:pPr>
      <w:r>
        <w:t>Synergy Tracking Tools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1"/>
          <w:numId w:val="900"/>
        </w:numPr>
        <w:spacing w:before="0" w:after="0"/>
      </w:pPr>
      <w:r>
        <w:t>Common Pitfalls in Synergy Realization</w:t>
      </w:r>
    </w:p>
    <w:p>
      <w:pPr>
        <w:numPr>
          <w:ilvl w:val="2"/>
          <w:numId w:val="900"/>
        </w:numPr>
        <w:spacing w:before="0" w:after="0"/>
      </w:pPr>
      <w:r>
        <w:t>Overestimation of Synergies</w:t>
      </w:r>
    </w:p>
    <w:p>
      <w:pPr>
        <w:numPr>
          <w:ilvl w:val="2"/>
          <w:numId w:val="900"/>
        </w:numPr>
        <w:spacing w:before="0" w:after="0"/>
      </w:pPr>
      <w:r>
        <w:t>Integration Delays</w:t>
      </w:r>
    </w:p>
    <w:p>
      <w:pPr>
        <w:numPr>
          <w:ilvl w:val="2"/>
          <w:numId w:val="900"/>
        </w:numPr>
        <w:spacing w:before="0" w:after="0"/>
      </w:pPr>
      <w:r>
        <w:t>Execution Challenges</w:t>
      </w:r>
    </w:p>
    <w:p>
      <w:pPr>
        <w:numPr>
          <w:ilvl w:val="0"/>
          <w:numId w:val="900"/>
        </w:numPr>
        <w:spacing w:before="0" w:after="0"/>
      </w:pPr>
      <w:r>
        <w:t>Measuring M&amp;A Success</w:t>
      </w:r>
    </w:p>
    <w:p>
      <w:pPr>
        <w:numPr>
          <w:ilvl w:val="1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EPS Accretion and Dilution</w:t>
      </w:r>
    </w:p>
    <w:p>
      <w:pPr>
        <w:numPr>
          <w:ilvl w:val="2"/>
          <w:numId w:val="900"/>
        </w:numPr>
        <w:spacing w:before="0" w:after="0"/>
      </w:pPr>
      <w:r>
        <w:t>Return on Invested Capital</w:t>
      </w:r>
    </w:p>
    <w:p>
      <w:pPr>
        <w:numPr>
          <w:ilvl w:val="2"/>
          <w:numId w:val="900"/>
        </w:numPr>
        <w:spacing w:before="0" w:after="0"/>
      </w:pPr>
      <w:r>
        <w:t>Cash Flow Generation</w:t>
      </w:r>
    </w:p>
    <w:p>
      <w:pPr>
        <w:numPr>
          <w:ilvl w:val="1"/>
          <w:numId w:val="900"/>
        </w:numPr>
        <w:spacing w:before="0" w:after="0"/>
      </w:pPr>
      <w:r>
        <w:t>Strategic Goal Achievement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1"/>
          <w:numId w:val="900"/>
        </w:numPr>
        <w:spacing w:before="0" w:after="0"/>
      </w:pPr>
      <w:r>
        <w:t>Shareholder Value Creation</w:t>
      </w:r>
    </w:p>
    <w:p>
      <w:pPr>
        <w:numPr>
          <w:ilvl w:val="2"/>
          <w:numId w:val="900"/>
        </w:numPr>
        <w:spacing w:before="0" w:after="0"/>
      </w:pPr>
      <w:r>
        <w:t>Stock Price Performance</w:t>
      </w:r>
    </w:p>
    <w:p>
      <w:pPr>
        <w:numPr>
          <w:ilvl w:val="2"/>
          <w:numId w:val="900"/>
        </w:numPr>
        <w:spacing w:before="0" w:after="0"/>
      </w:pPr>
      <w:r>
        <w:t>Total Shareholder Return</w:t>
      </w:r>
    </w:p>
    <w:p>
      <w:pPr>
        <w:pStyle w:val="Heading1"/>
      </w:pPr>
      <w:r>
        <w:t>Special Topics in M&amp;A</w:t>
      </w:r>
    </w:p>
    <w:p>
      <w:pPr>
        <w:numPr>
          <w:ilvl w:val="0"/>
          <w:numId w:val="900"/>
        </w:numPr>
        <w:spacing w:before="0" w:after="0"/>
      </w:pPr>
      <w:r>
        <w:t>Cross-Border M&amp;A</w:t>
      </w:r>
    </w:p>
    <w:p>
      <w:pPr>
        <w:numPr>
          <w:ilvl w:val="1"/>
          <w:numId w:val="900"/>
        </w:numPr>
        <w:spacing w:before="0" w:after="0"/>
      </w:pPr>
      <w:r>
        <w:t>Unique Challenges</w:t>
      </w:r>
    </w:p>
    <w:p>
      <w:pPr>
        <w:numPr>
          <w:ilvl w:val="2"/>
          <w:numId w:val="900"/>
        </w:numPr>
        <w:spacing w:before="0" w:after="0"/>
      </w:pPr>
      <w:r>
        <w:t>Currency Risk</w:t>
      </w:r>
    </w:p>
    <w:p>
      <w:pPr>
        <w:numPr>
          <w:ilvl w:val="3"/>
          <w:numId w:val="900"/>
        </w:numPr>
        <w:spacing w:before="0" w:after="0"/>
      </w:pPr>
      <w:r>
        <w:t>Exchange Rate Fluctuations</w:t>
      </w:r>
    </w:p>
    <w:p>
      <w:pPr>
        <w:numPr>
          <w:ilvl w:val="3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Political and Regulatory Risk</w:t>
      </w:r>
    </w:p>
    <w:p>
      <w:pPr>
        <w:numPr>
          <w:ilvl w:val="3"/>
          <w:numId w:val="900"/>
        </w:numPr>
        <w:spacing w:before="0" w:after="0"/>
      </w:pPr>
      <w:r>
        <w:t>Foreign Investment Restrictions</w:t>
      </w:r>
    </w:p>
    <w:p>
      <w:pPr>
        <w:numPr>
          <w:ilvl w:val="3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3"/>
          <w:numId w:val="900"/>
        </w:numPr>
        <w:spacing w:before="0" w:after="0"/>
      </w:pPr>
      <w:r>
        <w:t>Management Styles</w:t>
      </w:r>
    </w:p>
    <w:p>
      <w:pPr>
        <w:numPr>
          <w:ilvl w:val="3"/>
          <w:numId w:val="900"/>
        </w:numPr>
        <w:spacing w:before="0" w:after="0"/>
      </w:pPr>
      <w:r>
        <w:t>Communication Barriers</w:t>
      </w:r>
    </w:p>
    <w:p>
      <w:pPr>
        <w:numPr>
          <w:ilvl w:val="1"/>
          <w:numId w:val="900"/>
        </w:numPr>
        <w:spacing w:before="0" w:after="0"/>
      </w:pPr>
      <w:r>
        <w:t>Legal and Tax Considerations</w:t>
      </w:r>
    </w:p>
    <w:p>
      <w:pPr>
        <w:numPr>
          <w:ilvl w:val="2"/>
          <w:numId w:val="900"/>
        </w:numPr>
        <w:spacing w:before="0" w:after="0"/>
      </w:pPr>
      <w:r>
        <w:t>Local Law Compliance</w:t>
      </w:r>
    </w:p>
    <w:p>
      <w:pPr>
        <w:numPr>
          <w:ilvl w:val="2"/>
          <w:numId w:val="900"/>
        </w:numPr>
        <w:spacing w:before="0" w:after="0"/>
      </w:pPr>
      <w:r>
        <w:t>Tax Structuring</w:t>
      </w:r>
    </w:p>
    <w:p>
      <w:pPr>
        <w:numPr>
          <w:ilvl w:val="2"/>
          <w:numId w:val="900"/>
        </w:numPr>
        <w:spacing w:before="0" w:after="0"/>
      </w:pPr>
      <w:r>
        <w:t>Transfer Pricing</w:t>
      </w:r>
    </w:p>
    <w:p>
      <w:pPr>
        <w:numPr>
          <w:ilvl w:val="1"/>
          <w:numId w:val="900"/>
        </w:numPr>
        <w:spacing w:before="0" w:after="0"/>
      </w:pPr>
      <w:r>
        <w:t>Integration Challenges in Cross-Border Deals</w:t>
      </w:r>
    </w:p>
    <w:p>
      <w:pPr>
        <w:numPr>
          <w:ilvl w:val="2"/>
          <w:numId w:val="900"/>
        </w:numPr>
        <w:spacing w:before="0" w:after="0"/>
      </w:pPr>
      <w:r>
        <w:t>Geographic Coordination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numPr>
          <w:ilvl w:val="0"/>
          <w:numId w:val="900"/>
        </w:numPr>
        <w:spacing w:before="0" w:after="0"/>
      </w:pPr>
      <w:r>
        <w:t>M&amp;A in Private Equity</w:t>
      </w:r>
    </w:p>
    <w:p>
      <w:pPr>
        <w:numPr>
          <w:ilvl w:val="1"/>
          <w:numId w:val="900"/>
        </w:numPr>
        <w:spacing w:before="0" w:after="0"/>
      </w:pPr>
      <w:r>
        <w:t>The LBO Model</w:t>
      </w:r>
    </w:p>
    <w:p>
      <w:pPr>
        <w:numPr>
          <w:ilvl w:val="2"/>
          <w:numId w:val="900"/>
        </w:numPr>
        <w:spacing w:before="0" w:after="0"/>
      </w:pPr>
      <w:r>
        <w:t>Capital Structure</w:t>
      </w:r>
    </w:p>
    <w:p>
      <w:pPr>
        <w:numPr>
          <w:ilvl w:val="2"/>
          <w:numId w:val="900"/>
        </w:numPr>
        <w:spacing w:before="0" w:after="0"/>
      </w:pPr>
      <w:r>
        <w:t>Value Creation Levers</w:t>
      </w:r>
    </w:p>
    <w:p>
      <w:pPr>
        <w:numPr>
          <w:ilvl w:val="2"/>
          <w:numId w:val="900"/>
        </w:numPr>
        <w:spacing w:before="0" w:after="0"/>
      </w:pPr>
      <w:r>
        <w:t>Investment Thesis</w:t>
      </w:r>
    </w:p>
    <w:p>
      <w:pPr>
        <w:numPr>
          <w:ilvl w:val="1"/>
          <w:numId w:val="900"/>
        </w:numPr>
        <w:spacing w:before="0" w:after="0"/>
      </w:pPr>
      <w:r>
        <w:t>Role of Financial Sponsors</w:t>
      </w:r>
    </w:p>
    <w:p>
      <w:pPr>
        <w:numPr>
          <w:ilvl w:val="2"/>
          <w:numId w:val="900"/>
        </w:numPr>
        <w:spacing w:before="0" w:after="0"/>
      </w:pPr>
      <w:r>
        <w:t>Sourcing Deals</w:t>
      </w:r>
    </w:p>
    <w:p>
      <w:pPr>
        <w:numPr>
          <w:ilvl w:val="2"/>
          <w:numId w:val="900"/>
        </w:numPr>
        <w:spacing w:before="0" w:after="0"/>
      </w:pPr>
      <w:r>
        <w:t>Active Ownership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Exit Strategies</w:t>
      </w:r>
    </w:p>
    <w:p>
      <w:pPr>
        <w:numPr>
          <w:ilvl w:val="2"/>
          <w:numId w:val="900"/>
        </w:numPr>
        <w:spacing w:before="0" w:after="0"/>
      </w:pPr>
      <w:r>
        <w:t>Initial Public Offering</w:t>
      </w:r>
    </w:p>
    <w:p>
      <w:pPr>
        <w:numPr>
          <w:ilvl w:val="2"/>
          <w:numId w:val="900"/>
        </w:numPr>
        <w:spacing w:before="0" w:after="0"/>
      </w:pPr>
      <w:r>
        <w:t>Secondary Buyout</w:t>
      </w:r>
    </w:p>
    <w:p>
      <w:pPr>
        <w:numPr>
          <w:ilvl w:val="2"/>
          <w:numId w:val="900"/>
        </w:numPr>
        <w:spacing w:before="0" w:after="0"/>
      </w:pPr>
      <w:r>
        <w:t>Strategic Sale</w:t>
      </w:r>
    </w:p>
    <w:p>
      <w:pPr>
        <w:numPr>
          <w:ilvl w:val="2"/>
          <w:numId w:val="900"/>
        </w:numPr>
        <w:spacing w:before="0" w:after="0"/>
      </w:pPr>
      <w:r>
        <w:t>Dividend Recapitalization</w:t>
      </w:r>
    </w:p>
    <w:p>
      <w:pPr>
        <w:numPr>
          <w:ilvl w:val="0"/>
          <w:numId w:val="900"/>
        </w:numPr>
        <w:spacing w:before="0" w:after="0"/>
      </w:pPr>
      <w:r>
        <w:t>Divestitures and Carve-outs</w:t>
      </w:r>
    </w:p>
    <w:p>
      <w:pPr>
        <w:numPr>
          <w:ilvl w:val="1"/>
          <w:numId w:val="900"/>
        </w:numPr>
        <w:spacing w:before="0" w:after="0"/>
      </w:pPr>
      <w:r>
        <w:t>Strategic Rationale for Selling Assets</w:t>
      </w:r>
    </w:p>
    <w:p>
      <w:pPr>
        <w:numPr>
          <w:ilvl w:val="2"/>
          <w:numId w:val="900"/>
        </w:numPr>
        <w:spacing w:before="0" w:after="0"/>
      </w:pPr>
      <w:r>
        <w:t>Refocusing Core Business</w:t>
      </w:r>
    </w:p>
    <w:p>
      <w:pPr>
        <w:numPr>
          <w:ilvl w:val="2"/>
          <w:numId w:val="900"/>
        </w:numPr>
        <w:spacing w:before="0" w:after="0"/>
      </w:pPr>
      <w:r>
        <w:t>Raising Capital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Spin-offs</w:t>
      </w:r>
    </w:p>
    <w:p>
      <w:pPr>
        <w:numPr>
          <w:ilvl w:val="2"/>
          <w:numId w:val="900"/>
        </w:numPr>
        <w:spacing w:before="0" w:after="0"/>
      </w:pPr>
      <w:r>
        <w:t>Tax-Free Distribution</w:t>
      </w:r>
    </w:p>
    <w:p>
      <w:pPr>
        <w:numPr>
          <w:ilvl w:val="2"/>
          <w:numId w:val="900"/>
        </w:numPr>
        <w:spacing w:before="0" w:after="0"/>
      </w:pPr>
      <w:r>
        <w:t>Operational Independence</w:t>
      </w:r>
    </w:p>
    <w:p>
      <w:pPr>
        <w:numPr>
          <w:ilvl w:val="1"/>
          <w:numId w:val="900"/>
        </w:numPr>
        <w:spacing w:before="0" w:after="0"/>
      </w:pPr>
      <w:r>
        <w:t>Split-offs</w:t>
      </w:r>
    </w:p>
    <w:p>
      <w:pPr>
        <w:numPr>
          <w:ilvl w:val="2"/>
          <w:numId w:val="900"/>
        </w:numPr>
        <w:spacing w:before="0" w:after="0"/>
      </w:pPr>
      <w:r>
        <w:t>Exchange Offers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Equity Carve-outs</w:t>
      </w:r>
    </w:p>
    <w:p>
      <w:pPr>
        <w:numPr>
          <w:ilvl w:val="2"/>
          <w:numId w:val="900"/>
        </w:numPr>
        <w:spacing w:before="0" w:after="0"/>
      </w:pPr>
      <w:r>
        <w:t>Partial IPO</w:t>
      </w:r>
    </w:p>
    <w:p>
      <w:pPr>
        <w:numPr>
          <w:ilvl w:val="2"/>
          <w:numId w:val="900"/>
        </w:numPr>
        <w:spacing w:before="0" w:after="0"/>
      </w:pPr>
      <w:r>
        <w:t>Retained Control</w:t>
      </w:r>
    </w:p>
    <w:p>
      <w:pPr>
        <w:numPr>
          <w:ilvl w:val="1"/>
          <w:numId w:val="900"/>
        </w:numPr>
        <w:spacing w:before="0" w:after="0"/>
      </w:pPr>
      <w:r>
        <w:t>Transaction Structuring for Divestitures</w:t>
      </w:r>
    </w:p>
    <w:p>
      <w:pPr>
        <w:numPr>
          <w:ilvl w:val="2"/>
          <w:numId w:val="900"/>
        </w:numPr>
        <w:spacing w:before="0" w:after="0"/>
      </w:pPr>
      <w:r>
        <w:t>Asset vs. Stock Sale</w:t>
      </w:r>
    </w:p>
    <w:p>
      <w:pPr>
        <w:numPr>
          <w:ilvl w:val="2"/>
          <w:numId w:val="900"/>
        </w:numPr>
        <w:spacing w:before="0" w:after="0"/>
      </w:pPr>
      <w:r>
        <w:t>Transition Services</w:t>
      </w:r>
    </w:p>
    <w:p>
      <w:pPr>
        <w:numPr>
          <w:ilvl w:val="0"/>
          <w:numId w:val="900"/>
        </w:numPr>
        <w:spacing w:before="0" w:after="0"/>
      </w:pPr>
      <w:r>
        <w:t>M&amp;A in Distressed Situations</w:t>
      </w:r>
    </w:p>
    <w:p>
      <w:pPr>
        <w:numPr>
          <w:ilvl w:val="1"/>
          <w:numId w:val="900"/>
        </w:numPr>
        <w:spacing w:before="0" w:after="0"/>
      </w:pPr>
      <w:r>
        <w:t>Section 363 Sales in Bankruptcy</w:t>
      </w:r>
    </w:p>
    <w:p>
      <w:pPr>
        <w:numPr>
          <w:ilvl w:val="2"/>
          <w:numId w:val="900"/>
        </w:numPr>
        <w:spacing w:before="0" w:after="0"/>
      </w:pPr>
      <w:r>
        <w:t>Sale Process</w:t>
      </w:r>
    </w:p>
    <w:p>
      <w:pPr>
        <w:numPr>
          <w:ilvl w:val="2"/>
          <w:numId w:val="900"/>
        </w:numPr>
        <w:spacing w:before="0" w:after="0"/>
      </w:pPr>
      <w:r>
        <w:t>Stalking Horse Bidders</w:t>
      </w:r>
    </w:p>
    <w:p>
      <w:pPr>
        <w:numPr>
          <w:ilvl w:val="2"/>
          <w:numId w:val="900"/>
        </w:numPr>
        <w:spacing w:before="0" w:after="0"/>
      </w:pPr>
      <w:r>
        <w:t>Court Approval</w:t>
      </w:r>
    </w:p>
    <w:p>
      <w:pPr>
        <w:numPr>
          <w:ilvl w:val="1"/>
          <w:numId w:val="900"/>
        </w:numPr>
        <w:spacing w:before="0" w:after="0"/>
      </w:pPr>
      <w:r>
        <w:t>Debt-for-Equity Swaps</w:t>
      </w:r>
    </w:p>
    <w:p>
      <w:pPr>
        <w:numPr>
          <w:ilvl w:val="2"/>
          <w:numId w:val="900"/>
        </w:numPr>
        <w:spacing w:before="0" w:after="0"/>
      </w:pPr>
      <w:r>
        <w:t>Restructuring Balance Sheets</w:t>
      </w:r>
    </w:p>
    <w:p>
      <w:pPr>
        <w:numPr>
          <w:ilvl w:val="2"/>
          <w:numId w:val="900"/>
        </w:numPr>
        <w:spacing w:before="0" w:after="0"/>
      </w:pPr>
      <w:r>
        <w:t>Stakeholder Negotiations</w:t>
      </w:r>
    </w:p>
    <w:p>
      <w:pPr>
        <w:numPr>
          <w:ilvl w:val="2"/>
          <w:numId w:val="900"/>
        </w:numPr>
        <w:spacing w:before="0" w:after="0"/>
      </w:pPr>
      <w:r>
        <w:t>Valuation Challenges</w:t>
      </w:r>
    </w:p>
    <w:p>
      <w:pPr>
        <w:numPr>
          <w:ilvl w:val="1"/>
          <w:numId w:val="900"/>
        </w:numPr>
        <w:spacing w:before="0" w:after="0"/>
      </w:pPr>
      <w:r>
        <w:t>Distressed M&amp;A Considerations</w:t>
      </w:r>
    </w:p>
    <w:p>
      <w:pPr>
        <w:numPr>
          <w:ilvl w:val="2"/>
          <w:numId w:val="900"/>
        </w:numPr>
        <w:spacing w:before="0" w:after="0"/>
      </w:pPr>
      <w:r>
        <w:t>Due Diligence Limitations</w:t>
      </w:r>
    </w:p>
    <w:p>
      <w:pPr>
        <w:numPr>
          <w:ilvl w:val="2"/>
          <w:numId w:val="900"/>
        </w:numPr>
        <w:spacing w:before="0" w:after="0"/>
      </w:pPr>
      <w:r>
        <w:t>Accelerated Timelines</w:t>
      </w:r>
    </w:p>
    <w:p>
      <w:pPr>
        <w:numPr>
          <w:ilvl w:val="2"/>
          <w:numId w:val="900"/>
        </w:numPr>
        <w:spacing w:before="0" w:after="0"/>
      </w:pPr>
      <w:r>
        <w:t>Regulatory Approvals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