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International Finance and Currency Markets</w:t>
      </w:r>
    </w:p>
    <w:p>
      <w:pPr>
        <w:pStyle w:val="Heading1"/>
      </w:pPr>
      <w:r>
        <w:t>Foundations of International Finance</w:t>
      </w:r>
    </w:p>
    <w:p>
      <w:pPr>
        <w:numPr>
          <w:ilvl w:val="0"/>
          <w:numId w:val="900"/>
        </w:numPr>
        <w:spacing w:before="0" w:after="0"/>
      </w:pPr>
      <w:r>
        <w:t>Definition and Scope of International Finance</w:t>
      </w:r>
    </w:p>
    <w:p>
      <w:pPr>
        <w:numPr>
          <w:ilvl w:val="1"/>
          <w:numId w:val="900"/>
        </w:numPr>
        <w:spacing w:before="0" w:after="0"/>
      </w:pPr>
      <w:r>
        <w:t>Key Concepts and Terminology</w:t>
      </w:r>
    </w:p>
    <w:p>
      <w:pPr>
        <w:numPr>
          <w:ilvl w:val="1"/>
          <w:numId w:val="900"/>
        </w:numPr>
        <w:spacing w:before="0" w:after="0"/>
      </w:pPr>
      <w:r>
        <w:t>Differences from Domestic Finance</w:t>
      </w:r>
    </w:p>
    <w:p>
      <w:pPr>
        <w:numPr>
          <w:ilvl w:val="0"/>
          <w:numId w:val="900"/>
        </w:numPr>
        <w:spacing w:before="0" w:after="0"/>
      </w:pPr>
      <w:r>
        <w:t>Globalization and the Multinational Corporation</w:t>
      </w:r>
    </w:p>
    <w:p>
      <w:pPr>
        <w:numPr>
          <w:ilvl w:val="1"/>
          <w:numId w:val="900"/>
        </w:numPr>
        <w:spacing w:before="0" w:after="0"/>
      </w:pPr>
      <w:r>
        <w:t>Characteristics of MNCs</w:t>
      </w:r>
    </w:p>
    <w:p>
      <w:pPr>
        <w:numPr>
          <w:ilvl w:val="1"/>
          <w:numId w:val="900"/>
        </w:numPr>
        <w:spacing w:before="0" w:after="0"/>
      </w:pPr>
      <w:r>
        <w:t>Organizational Structures of MNCs</w:t>
      </w:r>
    </w:p>
    <w:p>
      <w:pPr>
        <w:numPr>
          <w:ilvl w:val="1"/>
          <w:numId w:val="900"/>
        </w:numPr>
        <w:spacing w:before="0" w:after="0"/>
      </w:pPr>
      <w:r>
        <w:t>International Business Strategies</w:t>
      </w:r>
    </w:p>
    <w:p>
      <w:pPr>
        <w:numPr>
          <w:ilvl w:val="0"/>
          <w:numId w:val="900"/>
        </w:numPr>
        <w:spacing w:before="0" w:after="0"/>
      </w:pPr>
      <w:r>
        <w:t>Goals of the Multinational Corporation</w:t>
      </w:r>
    </w:p>
    <w:p>
      <w:pPr>
        <w:numPr>
          <w:ilvl w:val="1"/>
          <w:numId w:val="900"/>
        </w:numPr>
        <w:spacing w:before="0" w:after="0"/>
      </w:pPr>
      <w:r>
        <w:t>Shareholder Wealth Maximization</w:t>
      </w:r>
    </w:p>
    <w:p>
      <w:pPr>
        <w:numPr>
          <w:ilvl w:val="1"/>
          <w:numId w:val="900"/>
        </w:numPr>
        <w:spacing w:before="0" w:after="0"/>
      </w:pPr>
      <w:r>
        <w:t>Stakeholder Considerations</w:t>
      </w:r>
    </w:p>
    <w:p>
      <w:pPr>
        <w:numPr>
          <w:ilvl w:val="1"/>
          <w:numId w:val="900"/>
        </w:numPr>
        <w:spacing w:before="0" w:after="0"/>
      </w:pPr>
      <w:r>
        <w:t>Corporate Social Responsibility in International Contexts</w:t>
      </w:r>
    </w:p>
    <w:p>
      <w:pPr>
        <w:numPr>
          <w:ilvl w:val="0"/>
          <w:numId w:val="900"/>
        </w:numPr>
        <w:spacing w:before="0" w:after="0"/>
      </w:pPr>
      <w:r>
        <w:t>Agency Problems and Corporate Governance</w:t>
      </w:r>
    </w:p>
    <w:p>
      <w:pPr>
        <w:numPr>
          <w:ilvl w:val="1"/>
          <w:numId w:val="900"/>
        </w:numPr>
        <w:spacing w:before="0" w:after="0"/>
      </w:pPr>
      <w:r>
        <w:t>Principal-Agent Problem in MNCs</w:t>
      </w:r>
    </w:p>
    <w:p>
      <w:pPr>
        <w:numPr>
          <w:ilvl w:val="1"/>
          <w:numId w:val="900"/>
        </w:numPr>
        <w:spacing w:before="0" w:after="0"/>
      </w:pPr>
      <w:r>
        <w:t>Corporate Governance Mechanisms</w:t>
      </w:r>
    </w:p>
    <w:p>
      <w:pPr>
        <w:numPr>
          <w:ilvl w:val="1"/>
          <w:numId w:val="900"/>
        </w:numPr>
        <w:spacing w:before="0" w:after="0"/>
      </w:pPr>
      <w:r>
        <w:t>International Variations in Governance</w:t>
      </w:r>
    </w:p>
    <w:p>
      <w:pPr>
        <w:numPr>
          <w:ilvl w:val="0"/>
          <w:numId w:val="900"/>
        </w:numPr>
        <w:spacing w:before="0" w:after="0"/>
      </w:pPr>
      <w:r>
        <w:t>Distinction between International and Domestic Finance</w:t>
      </w:r>
    </w:p>
    <w:p>
      <w:pPr>
        <w:numPr>
          <w:ilvl w:val="1"/>
          <w:numId w:val="900"/>
        </w:numPr>
        <w:spacing w:before="0" w:after="0"/>
      </w:pPr>
      <w:r>
        <w:t>Exchange Rate Risk</w:t>
      </w:r>
    </w:p>
    <w:p>
      <w:pPr>
        <w:numPr>
          <w:ilvl w:val="1"/>
          <w:numId w:val="900"/>
        </w:numPr>
        <w:spacing w:before="0" w:after="0"/>
      </w:pPr>
      <w:r>
        <w:t>Political Risk</w:t>
      </w:r>
    </w:p>
    <w:p>
      <w:pPr>
        <w:numPr>
          <w:ilvl w:val="1"/>
          <w:numId w:val="900"/>
        </w:numPr>
        <w:spacing w:before="0" w:after="0"/>
      </w:pPr>
      <w:r>
        <w:t>Market Imperfections</w:t>
      </w:r>
    </w:p>
    <w:p>
      <w:pPr>
        <w:numPr>
          <w:ilvl w:val="1"/>
          <w:numId w:val="900"/>
        </w:numPr>
        <w:spacing w:before="0" w:after="0"/>
      </w:pPr>
      <w:r>
        <w:t>Expanded Opportunity Set</w:t>
      </w:r>
    </w:p>
    <w:p>
      <w:pPr>
        <w:pStyle w:val="Heading1"/>
      </w:pPr>
      <w:r>
        <w:t>The Balance of Payments</w:t>
      </w:r>
    </w:p>
    <w:p>
      <w:pPr>
        <w:numPr>
          <w:ilvl w:val="0"/>
          <w:numId w:val="900"/>
        </w:numPr>
        <w:spacing w:before="0" w:after="0"/>
      </w:pPr>
      <w:r>
        <w:t>Introduction to BOP Accounting</w:t>
      </w:r>
    </w:p>
    <w:p>
      <w:pPr>
        <w:numPr>
          <w:ilvl w:val="1"/>
          <w:numId w:val="900"/>
        </w:numPr>
        <w:spacing w:before="0" w:after="0"/>
      </w:pPr>
      <w:r>
        <w:t>Structure and Principles of BOP</w:t>
      </w:r>
    </w:p>
    <w:p>
      <w:pPr>
        <w:numPr>
          <w:ilvl w:val="1"/>
          <w:numId w:val="900"/>
        </w:numPr>
        <w:spacing w:before="0" w:after="0"/>
      </w:pPr>
      <w:r>
        <w:t>Double-Entry Bookkeeping in BOP</w:t>
      </w:r>
    </w:p>
    <w:p>
      <w:pPr>
        <w:numPr>
          <w:ilvl w:val="1"/>
          <w:numId w:val="900"/>
        </w:numPr>
        <w:spacing w:before="0" w:after="0"/>
      </w:pPr>
      <w:r>
        <w:t>BOP Data Sources and Compilation</w:t>
      </w:r>
    </w:p>
    <w:p>
      <w:pPr>
        <w:numPr>
          <w:ilvl w:val="0"/>
          <w:numId w:val="900"/>
        </w:numPr>
        <w:spacing w:before="0" w:after="0"/>
      </w:pPr>
      <w:r>
        <w:t>The Current Account</w:t>
      </w:r>
    </w:p>
    <w:p>
      <w:pPr>
        <w:numPr>
          <w:ilvl w:val="1"/>
          <w:numId w:val="900"/>
        </w:numPr>
        <w:spacing w:before="0" w:after="0"/>
      </w:pPr>
      <w:r>
        <w:t>Balance of Trade</w:t>
      </w:r>
    </w:p>
    <w:p>
      <w:pPr>
        <w:numPr>
          <w:ilvl w:val="2"/>
          <w:numId w:val="900"/>
        </w:numPr>
        <w:spacing w:before="0" w:after="0"/>
      </w:pPr>
      <w:r>
        <w:t>Exports of Goods and Services</w:t>
      </w:r>
    </w:p>
    <w:p>
      <w:pPr>
        <w:numPr>
          <w:ilvl w:val="2"/>
          <w:numId w:val="900"/>
        </w:numPr>
        <w:spacing w:before="0" w:after="0"/>
      </w:pPr>
      <w:r>
        <w:t>Imports of Goods and Services</w:t>
      </w:r>
    </w:p>
    <w:p>
      <w:pPr>
        <w:numPr>
          <w:ilvl w:val="1"/>
          <w:numId w:val="900"/>
        </w:numPr>
        <w:spacing w:before="0" w:after="0"/>
      </w:pPr>
      <w:r>
        <w:t>Primary Income</w:t>
      </w:r>
    </w:p>
    <w:p>
      <w:pPr>
        <w:numPr>
          <w:ilvl w:val="2"/>
          <w:numId w:val="900"/>
        </w:numPr>
        <w:spacing w:before="0" w:after="0"/>
      </w:pPr>
      <w:r>
        <w:t>Compensation of Employees</w:t>
      </w:r>
    </w:p>
    <w:p>
      <w:pPr>
        <w:numPr>
          <w:ilvl w:val="2"/>
          <w:numId w:val="900"/>
        </w:numPr>
        <w:spacing w:before="0" w:after="0"/>
      </w:pPr>
      <w:r>
        <w:t>Investment Income</w:t>
      </w:r>
    </w:p>
    <w:p>
      <w:pPr>
        <w:numPr>
          <w:ilvl w:val="1"/>
          <w:numId w:val="900"/>
        </w:numPr>
        <w:spacing w:before="0" w:after="0"/>
      </w:pPr>
      <w:r>
        <w:t>Secondary Income</w:t>
      </w:r>
    </w:p>
    <w:p>
      <w:pPr>
        <w:numPr>
          <w:ilvl w:val="2"/>
          <w:numId w:val="900"/>
        </w:numPr>
        <w:spacing w:before="0" w:after="0"/>
      </w:pPr>
      <w:r>
        <w:t>Personal Transfers</w:t>
      </w:r>
    </w:p>
    <w:p>
      <w:pPr>
        <w:numPr>
          <w:ilvl w:val="2"/>
          <w:numId w:val="900"/>
        </w:numPr>
        <w:spacing w:before="0" w:after="0"/>
      </w:pPr>
      <w:r>
        <w:t>Government Transfers</w:t>
      </w:r>
    </w:p>
    <w:p>
      <w:pPr>
        <w:numPr>
          <w:ilvl w:val="0"/>
          <w:numId w:val="900"/>
        </w:numPr>
        <w:spacing w:before="0" w:after="0"/>
      </w:pPr>
      <w:r>
        <w:t>The Capital Account</w:t>
      </w:r>
    </w:p>
    <w:p>
      <w:pPr>
        <w:numPr>
          <w:ilvl w:val="1"/>
          <w:numId w:val="900"/>
        </w:numPr>
        <w:spacing w:before="0" w:after="0"/>
      </w:pPr>
      <w:r>
        <w:t>Capital Transfers</w:t>
      </w:r>
    </w:p>
    <w:p>
      <w:pPr>
        <w:numPr>
          <w:ilvl w:val="1"/>
          <w:numId w:val="900"/>
        </w:numPr>
        <w:spacing w:before="0" w:after="0"/>
      </w:pPr>
      <w:r>
        <w:t>Acquisition and Disposal of Non-Produced Non-Financial Assets</w:t>
      </w:r>
    </w:p>
    <w:p>
      <w:pPr>
        <w:numPr>
          <w:ilvl w:val="0"/>
          <w:numId w:val="900"/>
        </w:numPr>
        <w:spacing w:before="0" w:after="0"/>
      </w:pPr>
      <w:r>
        <w:t>The Financial Account</w:t>
      </w:r>
    </w:p>
    <w:p>
      <w:pPr>
        <w:numPr>
          <w:ilvl w:val="1"/>
          <w:numId w:val="900"/>
        </w:numPr>
        <w:spacing w:before="0" w:after="0"/>
      </w:pPr>
      <w:r>
        <w:t>Direct Investment</w:t>
      </w:r>
    </w:p>
    <w:p>
      <w:pPr>
        <w:numPr>
          <w:ilvl w:val="2"/>
          <w:numId w:val="900"/>
        </w:numPr>
        <w:spacing w:before="0" w:after="0"/>
      </w:pPr>
      <w:r>
        <w:t>Inward FDI</w:t>
      </w:r>
    </w:p>
    <w:p>
      <w:pPr>
        <w:numPr>
          <w:ilvl w:val="2"/>
          <w:numId w:val="900"/>
        </w:numPr>
        <w:spacing w:before="0" w:after="0"/>
      </w:pPr>
      <w:r>
        <w:t>Outward FDI</w:t>
      </w:r>
    </w:p>
    <w:p>
      <w:pPr>
        <w:numPr>
          <w:ilvl w:val="1"/>
          <w:numId w:val="900"/>
        </w:numPr>
        <w:spacing w:before="0" w:after="0"/>
      </w:pPr>
      <w:r>
        <w:t>Portfolio Investment</w:t>
      </w:r>
    </w:p>
    <w:p>
      <w:pPr>
        <w:numPr>
          <w:ilvl w:val="2"/>
          <w:numId w:val="900"/>
        </w:numPr>
        <w:spacing w:before="0" w:after="0"/>
      </w:pPr>
      <w:r>
        <w:t>Equity Securities</w:t>
      </w:r>
    </w:p>
    <w:p>
      <w:pPr>
        <w:numPr>
          <w:ilvl w:val="2"/>
          <w:numId w:val="900"/>
        </w:numPr>
        <w:spacing w:before="0" w:after="0"/>
      </w:pPr>
      <w:r>
        <w:t>Debt Securities</w:t>
      </w:r>
    </w:p>
    <w:p>
      <w:pPr>
        <w:numPr>
          <w:ilvl w:val="1"/>
          <w:numId w:val="900"/>
        </w:numPr>
        <w:spacing w:before="0" w:after="0"/>
      </w:pPr>
      <w:r>
        <w:t>Other Investment</w:t>
      </w:r>
    </w:p>
    <w:p>
      <w:pPr>
        <w:numPr>
          <w:ilvl w:val="2"/>
          <w:numId w:val="900"/>
        </w:numPr>
        <w:spacing w:before="0" w:after="0"/>
      </w:pPr>
      <w:r>
        <w:t>Loans</w:t>
      </w:r>
    </w:p>
    <w:p>
      <w:pPr>
        <w:numPr>
          <w:ilvl w:val="2"/>
          <w:numId w:val="900"/>
        </w:numPr>
        <w:spacing w:before="0" w:after="0"/>
      </w:pPr>
      <w:r>
        <w:t>Currency and Deposits</w:t>
      </w:r>
    </w:p>
    <w:p>
      <w:pPr>
        <w:numPr>
          <w:ilvl w:val="2"/>
          <w:numId w:val="900"/>
        </w:numPr>
        <w:spacing w:before="0" w:after="0"/>
      </w:pPr>
      <w:r>
        <w:t>Trade Credits</w:t>
      </w:r>
    </w:p>
    <w:p>
      <w:pPr>
        <w:numPr>
          <w:ilvl w:val="1"/>
          <w:numId w:val="900"/>
        </w:numPr>
        <w:spacing w:before="0" w:after="0"/>
      </w:pPr>
      <w:r>
        <w:t>Reserve Assets</w:t>
      </w:r>
    </w:p>
    <w:p>
      <w:pPr>
        <w:numPr>
          <w:ilvl w:val="2"/>
          <w:numId w:val="900"/>
        </w:numPr>
        <w:spacing w:before="0" w:after="0"/>
      </w:pPr>
      <w:r>
        <w:t>Official Reserves</w:t>
      </w:r>
    </w:p>
    <w:p>
      <w:pPr>
        <w:numPr>
          <w:ilvl w:val="2"/>
          <w:numId w:val="900"/>
        </w:numPr>
        <w:spacing w:before="0" w:after="0"/>
      </w:pPr>
      <w:r>
        <w:t>Gold Holdings</w:t>
      </w:r>
    </w:p>
    <w:p>
      <w:pPr>
        <w:numPr>
          <w:ilvl w:val="2"/>
          <w:numId w:val="900"/>
        </w:numPr>
        <w:spacing w:before="0" w:after="0"/>
      </w:pPr>
      <w:r>
        <w:t>Special Drawing Rights</w:t>
      </w:r>
    </w:p>
    <w:p>
      <w:pPr>
        <w:numPr>
          <w:ilvl w:val="0"/>
          <w:numId w:val="900"/>
        </w:numPr>
        <w:spacing w:before="0" w:after="0"/>
      </w:pPr>
      <w:r>
        <w:t>BOP and Exchange Rates</w:t>
      </w:r>
    </w:p>
    <w:p>
      <w:pPr>
        <w:numPr>
          <w:ilvl w:val="1"/>
          <w:numId w:val="900"/>
        </w:numPr>
        <w:spacing w:before="0" w:after="0"/>
      </w:pPr>
      <w:r>
        <w:t>BOP Surpluses and Deficits</w:t>
      </w:r>
    </w:p>
    <w:p>
      <w:pPr>
        <w:numPr>
          <w:ilvl w:val="1"/>
          <w:numId w:val="900"/>
        </w:numPr>
        <w:spacing w:before="0" w:after="0"/>
      </w:pPr>
      <w:r>
        <w:t>Impact on Currency Value</w:t>
      </w:r>
    </w:p>
    <w:p>
      <w:pPr>
        <w:numPr>
          <w:ilvl w:val="0"/>
          <w:numId w:val="900"/>
        </w:numPr>
        <w:spacing w:before="0" w:after="0"/>
      </w:pPr>
      <w:r>
        <w:t>BOP and National Income Accounting</w:t>
      </w:r>
    </w:p>
    <w:p>
      <w:pPr>
        <w:numPr>
          <w:ilvl w:val="1"/>
          <w:numId w:val="900"/>
        </w:numPr>
        <w:spacing w:before="0" w:after="0"/>
      </w:pPr>
      <w:r>
        <w:t>Relationship to GDP and GNP</w:t>
      </w:r>
    </w:p>
    <w:p>
      <w:pPr>
        <w:numPr>
          <w:ilvl w:val="1"/>
          <w:numId w:val="900"/>
        </w:numPr>
        <w:spacing w:before="0" w:after="0"/>
      </w:pPr>
      <w:r>
        <w:t>Savings-Investment Identity</w:t>
      </w:r>
    </w:p>
    <w:p>
      <w:pPr>
        <w:pStyle w:val="Heading1"/>
      </w:pPr>
      <w:r>
        <w:t>The Foreign Exchange Market</w:t>
      </w:r>
    </w:p>
    <w:p>
      <w:pPr>
        <w:numPr>
          <w:ilvl w:val="0"/>
          <w:numId w:val="900"/>
        </w:numPr>
        <w:spacing w:before="0" w:after="0"/>
      </w:pPr>
      <w:r>
        <w:t>Market Structure and Participants</w:t>
      </w:r>
    </w:p>
    <w:p>
      <w:pPr>
        <w:numPr>
          <w:ilvl w:val="1"/>
          <w:numId w:val="900"/>
        </w:numPr>
        <w:spacing w:before="0" w:after="0"/>
      </w:pPr>
      <w:r>
        <w:t>Organization of the Forex Market</w:t>
      </w:r>
    </w:p>
    <w:p>
      <w:pPr>
        <w:numPr>
          <w:ilvl w:val="1"/>
          <w:numId w:val="900"/>
        </w:numPr>
        <w:spacing w:before="0" w:after="0"/>
      </w:pPr>
      <w:r>
        <w:t>Interbank Market</w:t>
      </w:r>
    </w:p>
    <w:p>
      <w:pPr>
        <w:numPr>
          <w:ilvl w:val="1"/>
          <w:numId w:val="900"/>
        </w:numPr>
        <w:spacing w:before="0" w:after="0"/>
      </w:pPr>
      <w:r>
        <w:t>Central Banks and Monetary Authorities</w:t>
      </w:r>
    </w:p>
    <w:p>
      <w:pPr>
        <w:numPr>
          <w:ilvl w:val="1"/>
          <w:numId w:val="900"/>
        </w:numPr>
        <w:spacing w:before="0" w:after="0"/>
      </w:pPr>
      <w:r>
        <w:t>Commercial Banks</w:t>
      </w:r>
    </w:p>
    <w:p>
      <w:pPr>
        <w:numPr>
          <w:ilvl w:val="1"/>
          <w:numId w:val="900"/>
        </w:numPr>
        <w:spacing w:before="0" w:after="0"/>
      </w:pPr>
      <w:r>
        <w:t>Corporations and Multinational Firms</w:t>
      </w:r>
    </w:p>
    <w:p>
      <w:pPr>
        <w:numPr>
          <w:ilvl w:val="1"/>
          <w:numId w:val="900"/>
        </w:numPr>
        <w:spacing w:before="0" w:after="0"/>
      </w:pPr>
      <w:r>
        <w:t>Investment Funds</w:t>
      </w:r>
    </w:p>
    <w:p>
      <w:pPr>
        <w:numPr>
          <w:ilvl w:val="1"/>
          <w:numId w:val="900"/>
        </w:numPr>
        <w:spacing w:before="0" w:after="0"/>
      </w:pPr>
      <w:r>
        <w:t>Hedge Funds and Speculators</w:t>
      </w:r>
    </w:p>
    <w:p>
      <w:pPr>
        <w:numPr>
          <w:ilvl w:val="1"/>
          <w:numId w:val="900"/>
        </w:numPr>
        <w:spacing w:before="0" w:after="0"/>
      </w:pPr>
      <w:r>
        <w:t>Retail Forex Market</w:t>
      </w:r>
    </w:p>
    <w:p>
      <w:pPr>
        <w:numPr>
          <w:ilvl w:val="0"/>
          <w:numId w:val="900"/>
        </w:numPr>
        <w:spacing w:before="0" w:after="0"/>
      </w:pPr>
      <w:r>
        <w:t>Functions of the Forex Market</w:t>
      </w:r>
    </w:p>
    <w:p>
      <w:pPr>
        <w:numPr>
          <w:ilvl w:val="1"/>
          <w:numId w:val="900"/>
        </w:numPr>
        <w:spacing w:before="0" w:after="0"/>
      </w:pPr>
      <w:r>
        <w:t>Currency Conversion</w:t>
      </w:r>
    </w:p>
    <w:p>
      <w:pPr>
        <w:numPr>
          <w:ilvl w:val="1"/>
          <w:numId w:val="900"/>
        </w:numPr>
        <w:spacing w:before="0" w:after="0"/>
      </w:pPr>
      <w:r>
        <w:t>Hedging Foreign Exchange Risk</w:t>
      </w:r>
    </w:p>
    <w:p>
      <w:pPr>
        <w:numPr>
          <w:ilvl w:val="1"/>
          <w:numId w:val="900"/>
        </w:numPr>
        <w:spacing w:before="0" w:after="0"/>
      </w:pPr>
      <w:r>
        <w:t>Arbitrage Opportunities</w:t>
      </w:r>
    </w:p>
    <w:p>
      <w:pPr>
        <w:numPr>
          <w:ilvl w:val="1"/>
          <w:numId w:val="900"/>
        </w:numPr>
        <w:spacing w:before="0" w:after="0"/>
      </w:pPr>
      <w:r>
        <w:t>Speculation</w:t>
      </w:r>
    </w:p>
    <w:p>
      <w:pPr>
        <w:numPr>
          <w:ilvl w:val="0"/>
          <w:numId w:val="900"/>
        </w:numPr>
        <w:spacing w:before="0" w:after="0"/>
      </w:pPr>
      <w:r>
        <w:t>Market Size and Liquidity</w:t>
      </w:r>
    </w:p>
    <w:p>
      <w:pPr>
        <w:numPr>
          <w:ilvl w:val="1"/>
          <w:numId w:val="900"/>
        </w:numPr>
        <w:spacing w:before="0" w:after="0"/>
      </w:pPr>
      <w:r>
        <w:t>Global Trading Volumes</w:t>
      </w:r>
    </w:p>
    <w:p>
      <w:pPr>
        <w:numPr>
          <w:ilvl w:val="1"/>
          <w:numId w:val="900"/>
        </w:numPr>
        <w:spacing w:before="0" w:after="0"/>
      </w:pPr>
      <w:r>
        <w:t>Major Trading Centers</w:t>
      </w:r>
    </w:p>
    <w:p>
      <w:pPr>
        <w:numPr>
          <w:ilvl w:val="1"/>
          <w:numId w:val="900"/>
        </w:numPr>
        <w:spacing w:before="0" w:after="0"/>
      </w:pPr>
      <w:r>
        <w:t>Most Traded Currency Pairs</w:t>
      </w:r>
    </w:p>
    <w:p>
      <w:pPr>
        <w:numPr>
          <w:ilvl w:val="0"/>
          <w:numId w:val="900"/>
        </w:numPr>
        <w:spacing w:before="0" w:after="0"/>
      </w:pPr>
      <w:r>
        <w:t>Foreign Exchange Transactions</w:t>
      </w:r>
    </w:p>
    <w:p>
      <w:pPr>
        <w:numPr>
          <w:ilvl w:val="1"/>
          <w:numId w:val="900"/>
        </w:numPr>
        <w:spacing w:before="0" w:after="0"/>
      </w:pPr>
      <w:r>
        <w:t>Spot Transactions</w:t>
      </w:r>
    </w:p>
    <w:p>
      <w:pPr>
        <w:numPr>
          <w:ilvl w:val="2"/>
          <w:numId w:val="900"/>
        </w:numPr>
        <w:spacing w:before="0" w:after="0"/>
      </w:pPr>
      <w:r>
        <w:t>Spot Rate Determination</w:t>
      </w:r>
    </w:p>
    <w:p>
      <w:pPr>
        <w:numPr>
          <w:ilvl w:val="2"/>
          <w:numId w:val="900"/>
        </w:numPr>
        <w:spacing w:before="0" w:after="0"/>
      </w:pPr>
      <w:r>
        <w:t>Settlement Process</w:t>
      </w:r>
    </w:p>
    <w:p>
      <w:pPr>
        <w:numPr>
          <w:ilvl w:val="1"/>
          <w:numId w:val="900"/>
        </w:numPr>
        <w:spacing w:before="0" w:after="0"/>
      </w:pPr>
      <w:r>
        <w:t>Forward Transactions</w:t>
      </w:r>
    </w:p>
    <w:p>
      <w:pPr>
        <w:numPr>
          <w:ilvl w:val="2"/>
          <w:numId w:val="900"/>
        </w:numPr>
        <w:spacing w:before="0" w:after="0"/>
      </w:pPr>
      <w:r>
        <w:t>Forward Rate Quotation</w:t>
      </w:r>
    </w:p>
    <w:p>
      <w:pPr>
        <w:numPr>
          <w:ilvl w:val="2"/>
          <w:numId w:val="900"/>
        </w:numPr>
        <w:spacing w:before="0" w:after="0"/>
      </w:pPr>
      <w:r>
        <w:t>Forward Contract Settlement</w:t>
      </w:r>
    </w:p>
    <w:p>
      <w:pPr>
        <w:numPr>
          <w:ilvl w:val="1"/>
          <w:numId w:val="900"/>
        </w:numPr>
        <w:spacing w:before="0" w:after="0"/>
      </w:pPr>
      <w:r>
        <w:t>Foreign Exchange Swaps</w:t>
      </w:r>
    </w:p>
    <w:p>
      <w:pPr>
        <w:numPr>
          <w:ilvl w:val="2"/>
          <w:numId w:val="900"/>
        </w:numPr>
        <w:spacing w:before="0" w:after="0"/>
      </w:pPr>
      <w:r>
        <w:t>Structure of Swap Agreements</w:t>
      </w:r>
    </w:p>
    <w:p>
      <w:pPr>
        <w:numPr>
          <w:ilvl w:val="2"/>
          <w:numId w:val="900"/>
        </w:numPr>
        <w:spacing w:before="0" w:after="0"/>
      </w:pPr>
      <w:r>
        <w:t>Uses of Swaps</w:t>
      </w:r>
    </w:p>
    <w:p>
      <w:pPr>
        <w:numPr>
          <w:ilvl w:val="0"/>
          <w:numId w:val="900"/>
        </w:numPr>
        <w:spacing w:before="0" w:after="0"/>
      </w:pPr>
      <w:r>
        <w:t>Foreign Exchange Quotations</w:t>
      </w:r>
    </w:p>
    <w:p>
      <w:pPr>
        <w:numPr>
          <w:ilvl w:val="1"/>
          <w:numId w:val="900"/>
        </w:numPr>
        <w:spacing w:before="0" w:after="0"/>
      </w:pPr>
      <w:r>
        <w:t>Direct Quotations</w:t>
      </w:r>
    </w:p>
    <w:p>
      <w:pPr>
        <w:numPr>
          <w:ilvl w:val="1"/>
          <w:numId w:val="900"/>
        </w:numPr>
        <w:spacing w:before="0" w:after="0"/>
      </w:pPr>
      <w:r>
        <w:t>Indirect Quotations</w:t>
      </w:r>
    </w:p>
    <w:p>
      <w:pPr>
        <w:numPr>
          <w:ilvl w:val="1"/>
          <w:numId w:val="900"/>
        </w:numPr>
        <w:spacing w:before="0" w:after="0"/>
      </w:pPr>
      <w:r>
        <w:t>Bid-Ask Spreads</w:t>
      </w:r>
    </w:p>
    <w:p>
      <w:pPr>
        <w:numPr>
          <w:ilvl w:val="2"/>
          <w:numId w:val="900"/>
        </w:numPr>
        <w:spacing w:before="0" w:after="0"/>
      </w:pPr>
      <w:r>
        <w:t>Calculation of Spreads</w:t>
      </w:r>
    </w:p>
    <w:p>
      <w:pPr>
        <w:numPr>
          <w:ilvl w:val="2"/>
          <w:numId w:val="900"/>
        </w:numPr>
        <w:spacing w:before="0" w:after="0"/>
      </w:pPr>
      <w:r>
        <w:t>Factors Affecting Spreads</w:t>
      </w:r>
    </w:p>
    <w:p>
      <w:pPr>
        <w:numPr>
          <w:ilvl w:val="1"/>
          <w:numId w:val="900"/>
        </w:numPr>
        <w:spacing w:before="0" w:after="0"/>
      </w:pPr>
      <w:r>
        <w:t>Cross Rates</w:t>
      </w:r>
    </w:p>
    <w:p>
      <w:pPr>
        <w:numPr>
          <w:ilvl w:val="2"/>
          <w:numId w:val="900"/>
        </w:numPr>
        <w:spacing w:before="0" w:after="0"/>
      </w:pPr>
      <w:r>
        <w:t>Calculating Cross Rates</w:t>
      </w:r>
    </w:p>
    <w:p>
      <w:pPr>
        <w:numPr>
          <w:ilvl w:val="1"/>
          <w:numId w:val="900"/>
        </w:numPr>
        <w:spacing w:before="0" w:after="0"/>
      </w:pPr>
      <w:r>
        <w:t>Percentage Change in Currency Value</w:t>
      </w:r>
    </w:p>
    <w:p>
      <w:pPr>
        <w:numPr>
          <w:ilvl w:val="2"/>
          <w:numId w:val="900"/>
        </w:numPr>
        <w:spacing w:before="0" w:after="0"/>
      </w:pPr>
      <w:r>
        <w:t>Calculating Percentage Change</w:t>
      </w:r>
    </w:p>
    <w:p>
      <w:pPr>
        <w:numPr>
          <w:ilvl w:val="2"/>
          <w:numId w:val="900"/>
        </w:numPr>
        <w:spacing w:before="0" w:after="0"/>
      </w:pPr>
      <w:r>
        <w:t>Interpreting Currency Movements</w:t>
      </w:r>
    </w:p>
    <w:p>
      <w:pPr>
        <w:pStyle w:val="Heading1"/>
      </w:pPr>
      <w:r>
        <w:t>Exchange Rate Determination and Forecasting</w:t>
      </w:r>
    </w:p>
    <w:p>
      <w:pPr>
        <w:numPr>
          <w:ilvl w:val="0"/>
          <w:numId w:val="900"/>
        </w:numPr>
        <w:spacing w:before="0" w:after="0"/>
      </w:pPr>
      <w:r>
        <w:t>Exchange Rate Regimes</w:t>
      </w:r>
    </w:p>
    <w:p>
      <w:pPr>
        <w:numPr>
          <w:ilvl w:val="1"/>
          <w:numId w:val="900"/>
        </w:numPr>
        <w:spacing w:before="0" w:after="0"/>
      </w:pPr>
      <w:r>
        <w:t>Fixed Exchange Rate Systems</w:t>
      </w:r>
    </w:p>
    <w:p>
      <w:pPr>
        <w:numPr>
          <w:ilvl w:val="2"/>
          <w:numId w:val="900"/>
        </w:numPr>
        <w:spacing w:before="0" w:after="0"/>
      </w:pPr>
      <w:r>
        <w:t>Pegged Exchange Rates</w:t>
      </w:r>
    </w:p>
    <w:p>
      <w:pPr>
        <w:numPr>
          <w:ilvl w:val="2"/>
          <w:numId w:val="900"/>
        </w:numPr>
        <w:spacing w:before="0" w:after="0"/>
      </w:pPr>
      <w:r>
        <w:t>Currency Boards</w:t>
      </w:r>
    </w:p>
    <w:p>
      <w:pPr>
        <w:numPr>
          <w:ilvl w:val="1"/>
          <w:numId w:val="900"/>
        </w:numPr>
        <w:spacing w:before="0" w:after="0"/>
      </w:pPr>
      <w:r>
        <w:t>Floating Exchange Rate Systems</w:t>
      </w:r>
    </w:p>
    <w:p>
      <w:pPr>
        <w:numPr>
          <w:ilvl w:val="2"/>
          <w:numId w:val="900"/>
        </w:numPr>
        <w:spacing w:before="0" w:after="0"/>
      </w:pPr>
      <w:r>
        <w:t>Free Float</w:t>
      </w:r>
    </w:p>
    <w:p>
      <w:pPr>
        <w:numPr>
          <w:ilvl w:val="2"/>
          <w:numId w:val="900"/>
        </w:numPr>
        <w:spacing w:before="0" w:after="0"/>
      </w:pPr>
      <w:r>
        <w:t>Managed Float</w:t>
      </w:r>
    </w:p>
    <w:p>
      <w:pPr>
        <w:numPr>
          <w:ilvl w:val="1"/>
          <w:numId w:val="900"/>
        </w:numPr>
        <w:spacing w:before="0" w:after="0"/>
      </w:pPr>
      <w:r>
        <w:t>Target Zone Arrangements</w:t>
      </w:r>
    </w:p>
    <w:p>
      <w:pPr>
        <w:numPr>
          <w:ilvl w:val="1"/>
          <w:numId w:val="900"/>
        </w:numPr>
        <w:spacing w:before="0" w:after="0"/>
      </w:pPr>
      <w:r>
        <w:t>Hybrid and Other Regimes</w:t>
      </w:r>
    </w:p>
    <w:p>
      <w:pPr>
        <w:numPr>
          <w:ilvl w:val="0"/>
          <w:numId w:val="900"/>
        </w:numPr>
        <w:spacing w:before="0" w:after="0"/>
      </w:pPr>
      <w:r>
        <w:t>Parity Conditions in International Finance</w:t>
      </w:r>
    </w:p>
    <w:p>
      <w:pPr>
        <w:numPr>
          <w:ilvl w:val="1"/>
          <w:numId w:val="900"/>
        </w:numPr>
        <w:spacing w:before="0" w:after="0"/>
      </w:pPr>
      <w:r>
        <w:t>Purchasing Power Parity</w:t>
      </w:r>
    </w:p>
    <w:p>
      <w:pPr>
        <w:numPr>
          <w:ilvl w:val="2"/>
          <w:numId w:val="900"/>
        </w:numPr>
        <w:spacing w:before="0" w:after="0"/>
      </w:pPr>
      <w:r>
        <w:t>Absolute PPP</w:t>
      </w:r>
    </w:p>
    <w:p>
      <w:pPr>
        <w:numPr>
          <w:ilvl w:val="2"/>
          <w:numId w:val="900"/>
        </w:numPr>
        <w:spacing w:before="0" w:after="0"/>
      </w:pPr>
      <w:r>
        <w:t>Relative PPP</w:t>
      </w:r>
    </w:p>
    <w:p>
      <w:pPr>
        <w:numPr>
          <w:ilvl w:val="2"/>
          <w:numId w:val="900"/>
        </w:numPr>
        <w:spacing w:before="0" w:after="0"/>
      </w:pPr>
      <w:r>
        <w:t>Deviations from PPP</w:t>
      </w:r>
    </w:p>
    <w:p>
      <w:pPr>
        <w:numPr>
          <w:ilvl w:val="2"/>
          <w:numId w:val="900"/>
        </w:numPr>
        <w:spacing w:before="0" w:after="0"/>
      </w:pPr>
      <w:r>
        <w:t>The Real Exchange Rate</w:t>
      </w:r>
    </w:p>
    <w:p>
      <w:pPr>
        <w:numPr>
          <w:ilvl w:val="1"/>
          <w:numId w:val="900"/>
        </w:numPr>
        <w:spacing w:before="0" w:after="0"/>
      </w:pPr>
      <w:r>
        <w:t>The Fisher Effect</w:t>
      </w:r>
    </w:p>
    <w:p>
      <w:pPr>
        <w:numPr>
          <w:ilvl w:val="2"/>
          <w:numId w:val="900"/>
        </w:numPr>
        <w:spacing w:before="0" w:after="0"/>
      </w:pPr>
      <w:r>
        <w:t>Nominal Interest Rates</w:t>
      </w:r>
    </w:p>
    <w:p>
      <w:pPr>
        <w:numPr>
          <w:ilvl w:val="2"/>
          <w:numId w:val="900"/>
        </w:numPr>
        <w:spacing w:before="0" w:after="0"/>
      </w:pPr>
      <w:r>
        <w:t>Real Interest Rates</w:t>
      </w:r>
    </w:p>
    <w:p>
      <w:pPr>
        <w:numPr>
          <w:ilvl w:val="1"/>
          <w:numId w:val="900"/>
        </w:numPr>
        <w:spacing w:before="0" w:after="0"/>
      </w:pPr>
      <w:r>
        <w:t>The International Fisher Effect</w:t>
      </w:r>
    </w:p>
    <w:p>
      <w:pPr>
        <w:numPr>
          <w:ilvl w:val="1"/>
          <w:numId w:val="900"/>
        </w:numPr>
        <w:spacing w:before="0" w:after="0"/>
      </w:pPr>
      <w:r>
        <w:t>Interest Rate Parity</w:t>
      </w:r>
    </w:p>
    <w:p>
      <w:pPr>
        <w:numPr>
          <w:ilvl w:val="2"/>
          <w:numId w:val="900"/>
        </w:numPr>
        <w:spacing w:before="0" w:after="0"/>
      </w:pPr>
      <w:r>
        <w:t>Covered Interest Arbitrage</w:t>
      </w:r>
    </w:p>
    <w:p>
      <w:pPr>
        <w:numPr>
          <w:ilvl w:val="2"/>
          <w:numId w:val="900"/>
        </w:numPr>
        <w:spacing w:before="0" w:after="0"/>
      </w:pPr>
      <w:r>
        <w:t>Uncovered Interest Rate Parity</w:t>
      </w:r>
    </w:p>
    <w:p>
      <w:pPr>
        <w:numPr>
          <w:ilvl w:val="2"/>
          <w:numId w:val="900"/>
        </w:numPr>
        <w:spacing w:before="0" w:after="0"/>
      </w:pPr>
      <w:r>
        <w:t>Forward Premium and Discount</w:t>
      </w:r>
    </w:p>
    <w:p>
      <w:pPr>
        <w:numPr>
          <w:ilvl w:val="0"/>
          <w:numId w:val="900"/>
        </w:numPr>
        <w:spacing w:before="0" w:after="0"/>
      </w:pPr>
      <w:r>
        <w:t>Asset Market Approach to Exchange Rates</w:t>
      </w:r>
    </w:p>
    <w:p>
      <w:pPr>
        <w:numPr>
          <w:ilvl w:val="1"/>
          <w:numId w:val="900"/>
        </w:numPr>
        <w:spacing w:before="0" w:after="0"/>
      </w:pPr>
      <w:r>
        <w:t>Role of Financial Assets</w:t>
      </w:r>
    </w:p>
    <w:p>
      <w:pPr>
        <w:numPr>
          <w:ilvl w:val="1"/>
          <w:numId w:val="900"/>
        </w:numPr>
        <w:spacing w:before="0" w:after="0"/>
      </w:pPr>
      <w:r>
        <w:t>Capital Flows and Exchange Rates</w:t>
      </w:r>
    </w:p>
    <w:p>
      <w:pPr>
        <w:numPr>
          <w:ilvl w:val="1"/>
          <w:numId w:val="900"/>
        </w:numPr>
        <w:spacing w:before="0" w:after="0"/>
      </w:pPr>
      <w:r>
        <w:t>Expectations and Exchange Rate Movements</w:t>
      </w:r>
    </w:p>
    <w:p>
      <w:pPr>
        <w:numPr>
          <w:ilvl w:val="0"/>
          <w:numId w:val="900"/>
        </w:numPr>
        <w:spacing w:before="0" w:after="0"/>
      </w:pPr>
      <w:r>
        <w:t>Forecasting Exchange Rates</w:t>
      </w:r>
    </w:p>
    <w:p>
      <w:pPr>
        <w:numPr>
          <w:ilvl w:val="1"/>
          <w:numId w:val="900"/>
        </w:numPr>
        <w:spacing w:before="0" w:after="0"/>
      </w:pPr>
      <w:r>
        <w:t>Fundamental Forecasting</w:t>
      </w:r>
    </w:p>
    <w:p>
      <w:pPr>
        <w:numPr>
          <w:ilvl w:val="2"/>
          <w:numId w:val="900"/>
        </w:numPr>
        <w:spacing w:before="0" w:after="0"/>
      </w:pPr>
      <w:r>
        <w:t>Macroeconomic Indicators</w:t>
      </w:r>
    </w:p>
    <w:p>
      <w:pPr>
        <w:numPr>
          <w:ilvl w:val="2"/>
          <w:numId w:val="900"/>
        </w:numPr>
        <w:spacing w:before="0" w:after="0"/>
      </w:pPr>
      <w:r>
        <w:t>Balance of Payments Data</w:t>
      </w:r>
    </w:p>
    <w:p>
      <w:pPr>
        <w:numPr>
          <w:ilvl w:val="1"/>
          <w:numId w:val="900"/>
        </w:numPr>
        <w:spacing w:before="0" w:after="0"/>
      </w:pPr>
      <w:r>
        <w:t>Technical Forecasting</w:t>
      </w:r>
    </w:p>
    <w:p>
      <w:pPr>
        <w:numPr>
          <w:ilvl w:val="2"/>
          <w:numId w:val="900"/>
        </w:numPr>
        <w:spacing w:before="0" w:after="0"/>
      </w:pPr>
      <w:r>
        <w:t>Chart Patterns</w:t>
      </w:r>
    </w:p>
    <w:p>
      <w:pPr>
        <w:numPr>
          <w:ilvl w:val="2"/>
          <w:numId w:val="900"/>
        </w:numPr>
        <w:spacing w:before="0" w:after="0"/>
      </w:pPr>
      <w:r>
        <w:t>Technical Indicators</w:t>
      </w:r>
    </w:p>
    <w:p>
      <w:pPr>
        <w:numPr>
          <w:ilvl w:val="1"/>
          <w:numId w:val="900"/>
        </w:numPr>
        <w:spacing w:before="0" w:after="0"/>
      </w:pPr>
      <w:r>
        <w:t>Market-Based Forecasting</w:t>
      </w:r>
    </w:p>
    <w:p>
      <w:pPr>
        <w:numPr>
          <w:ilvl w:val="2"/>
          <w:numId w:val="900"/>
        </w:numPr>
        <w:spacing w:before="0" w:after="0"/>
      </w:pPr>
      <w:r>
        <w:t>Forward Rates as Predictors</w:t>
      </w:r>
    </w:p>
    <w:p>
      <w:pPr>
        <w:numPr>
          <w:ilvl w:val="2"/>
          <w:numId w:val="900"/>
        </w:numPr>
        <w:spacing w:before="0" w:after="0"/>
      </w:pPr>
      <w:r>
        <w:t>Survey-Based Forecasts</w:t>
      </w:r>
    </w:p>
    <w:p>
      <w:pPr>
        <w:numPr>
          <w:ilvl w:val="1"/>
          <w:numId w:val="900"/>
        </w:numPr>
        <w:spacing w:before="0" w:after="0"/>
      </w:pPr>
      <w:r>
        <w:t>Limitations of Exchange Rate Forecasting</w:t>
      </w:r>
    </w:p>
    <w:p>
      <w:pPr>
        <w:pStyle w:val="Heading1"/>
      </w:pPr>
      <w:r>
        <w:t>The International Monetary System</w:t>
      </w:r>
    </w:p>
    <w:p>
      <w:pPr>
        <w:numPr>
          <w:ilvl w:val="0"/>
          <w:numId w:val="900"/>
        </w:numPr>
        <w:spacing w:before="0" w:after="0"/>
      </w:pPr>
      <w:r>
        <w:t>Historical Overview</w:t>
      </w:r>
    </w:p>
    <w:p>
      <w:pPr>
        <w:numPr>
          <w:ilvl w:val="1"/>
          <w:numId w:val="900"/>
        </w:numPr>
        <w:spacing w:before="0" w:after="0"/>
      </w:pPr>
      <w:r>
        <w:t>The Gold Standard</w:t>
      </w:r>
    </w:p>
    <w:p>
      <w:pPr>
        <w:numPr>
          <w:ilvl w:val="2"/>
          <w:numId w:val="900"/>
        </w:numPr>
        <w:spacing w:before="0" w:after="0"/>
      </w:pPr>
      <w:r>
        <w:t>Mechanisms and Rules</w:t>
      </w:r>
    </w:p>
    <w:p>
      <w:pPr>
        <w:numPr>
          <w:ilvl w:val="2"/>
          <w:numId w:val="900"/>
        </w:numPr>
        <w:spacing w:before="0" w:after="0"/>
      </w:pPr>
      <w:r>
        <w:t>Collapse of the Gold Standard</w:t>
      </w:r>
    </w:p>
    <w:p>
      <w:pPr>
        <w:numPr>
          <w:ilvl w:val="1"/>
          <w:numId w:val="900"/>
        </w:numPr>
        <w:spacing w:before="0" w:after="0"/>
      </w:pPr>
      <w:r>
        <w:t>The Interwar Period</w:t>
      </w:r>
    </w:p>
    <w:p>
      <w:pPr>
        <w:numPr>
          <w:ilvl w:val="2"/>
          <w:numId w:val="900"/>
        </w:numPr>
        <w:spacing w:before="0" w:after="0"/>
      </w:pPr>
      <w:r>
        <w:t>Exchange Rate Instability</w:t>
      </w:r>
    </w:p>
    <w:p>
      <w:pPr>
        <w:numPr>
          <w:ilvl w:val="2"/>
          <w:numId w:val="900"/>
        </w:numPr>
        <w:spacing w:before="0" w:after="0"/>
      </w:pPr>
      <w:r>
        <w:t>Competitive Devaluations</w:t>
      </w:r>
    </w:p>
    <w:p>
      <w:pPr>
        <w:numPr>
          <w:ilvl w:val="1"/>
          <w:numId w:val="900"/>
        </w:numPr>
        <w:spacing w:before="0" w:after="0"/>
      </w:pPr>
      <w:r>
        <w:t>The Bretton Woods System</w:t>
      </w:r>
    </w:p>
    <w:p>
      <w:pPr>
        <w:numPr>
          <w:ilvl w:val="2"/>
          <w:numId w:val="900"/>
        </w:numPr>
        <w:spacing w:before="0" w:after="0"/>
      </w:pPr>
      <w:r>
        <w:t>Fixed Exchange Rates to the US Dollar</w:t>
      </w:r>
    </w:p>
    <w:p>
      <w:pPr>
        <w:numPr>
          <w:ilvl w:val="2"/>
          <w:numId w:val="900"/>
        </w:numPr>
        <w:spacing w:before="0" w:after="0"/>
      </w:pPr>
      <w:r>
        <w:t>Role of the IMF and World Bank</w:t>
      </w:r>
    </w:p>
    <w:p>
      <w:pPr>
        <w:numPr>
          <w:ilvl w:val="2"/>
          <w:numId w:val="900"/>
        </w:numPr>
        <w:spacing w:before="0" w:after="0"/>
      </w:pPr>
      <w:r>
        <w:t>Collapse of Bretton Woods</w:t>
      </w:r>
    </w:p>
    <w:p>
      <w:pPr>
        <w:numPr>
          <w:ilvl w:val="1"/>
          <w:numId w:val="900"/>
        </w:numPr>
        <w:spacing w:before="0" w:after="0"/>
      </w:pPr>
      <w:r>
        <w:t>The Post-Bretton Woods Era</w:t>
      </w:r>
    </w:p>
    <w:p>
      <w:pPr>
        <w:numPr>
          <w:ilvl w:val="2"/>
          <w:numId w:val="900"/>
        </w:numPr>
        <w:spacing w:before="0" w:after="0"/>
      </w:pPr>
      <w:r>
        <w:t>Floating Exchange Rates</w:t>
      </w:r>
    </w:p>
    <w:p>
      <w:pPr>
        <w:numPr>
          <w:ilvl w:val="2"/>
          <w:numId w:val="900"/>
        </w:numPr>
        <w:spacing w:before="0" w:after="0"/>
      </w:pPr>
      <w:r>
        <w:t>Evolution of the Current System</w:t>
      </w:r>
    </w:p>
    <w:p>
      <w:pPr>
        <w:numPr>
          <w:ilvl w:val="0"/>
          <w:numId w:val="900"/>
        </w:numPr>
        <w:spacing w:before="0" w:after="0"/>
      </w:pPr>
      <w:r>
        <w:t>The European Monetary System</w:t>
      </w:r>
    </w:p>
    <w:p>
      <w:pPr>
        <w:numPr>
          <w:ilvl w:val="1"/>
          <w:numId w:val="900"/>
        </w:numPr>
        <w:spacing w:before="0" w:after="0"/>
      </w:pPr>
      <w:r>
        <w:t>Development of the European Monetary Union</w:t>
      </w:r>
    </w:p>
    <w:p>
      <w:pPr>
        <w:numPr>
          <w:ilvl w:val="1"/>
          <w:numId w:val="900"/>
        </w:numPr>
        <w:spacing w:before="0" w:after="0"/>
      </w:pPr>
      <w:r>
        <w:t>The Euro</w:t>
      </w:r>
    </w:p>
    <w:p>
      <w:pPr>
        <w:numPr>
          <w:ilvl w:val="2"/>
          <w:numId w:val="900"/>
        </w:numPr>
        <w:spacing w:before="0" w:after="0"/>
      </w:pPr>
      <w:r>
        <w:t>Introduction and Adoption</w:t>
      </w:r>
    </w:p>
    <w:p>
      <w:pPr>
        <w:numPr>
          <w:ilvl w:val="2"/>
          <w:numId w:val="900"/>
        </w:numPr>
        <w:spacing w:before="0" w:after="0"/>
      </w:pPr>
      <w:r>
        <w:t>Eurozone Membership Criteria</w:t>
      </w:r>
    </w:p>
    <w:p>
      <w:pPr>
        <w:numPr>
          <w:ilvl w:val="1"/>
          <w:numId w:val="900"/>
        </w:numPr>
        <w:spacing w:before="0" w:after="0"/>
      </w:pPr>
      <w:r>
        <w:t>The European Central Bank</w:t>
      </w:r>
    </w:p>
    <w:p>
      <w:pPr>
        <w:numPr>
          <w:ilvl w:val="2"/>
          <w:numId w:val="900"/>
        </w:numPr>
        <w:spacing w:before="0" w:after="0"/>
      </w:pPr>
      <w:r>
        <w:t>Structure and Functions</w:t>
      </w:r>
    </w:p>
    <w:p>
      <w:pPr>
        <w:numPr>
          <w:ilvl w:val="2"/>
          <w:numId w:val="900"/>
        </w:numPr>
        <w:spacing w:before="0" w:after="0"/>
      </w:pPr>
      <w:r>
        <w:t>Monetary Policy in the Eurozone</w:t>
      </w:r>
    </w:p>
    <w:p>
      <w:pPr>
        <w:numPr>
          <w:ilvl w:val="0"/>
          <w:numId w:val="900"/>
        </w:numPr>
        <w:spacing w:before="0" w:after="0"/>
      </w:pPr>
      <w:r>
        <w:t>Currency Crises and Systemic Risk</w:t>
      </w:r>
    </w:p>
    <w:p>
      <w:pPr>
        <w:numPr>
          <w:ilvl w:val="1"/>
          <w:numId w:val="900"/>
        </w:numPr>
        <w:spacing w:before="0" w:after="0"/>
      </w:pPr>
      <w:r>
        <w:t>Causes of Currency Crises</w:t>
      </w:r>
    </w:p>
    <w:p>
      <w:pPr>
        <w:numPr>
          <w:ilvl w:val="1"/>
          <w:numId w:val="900"/>
        </w:numPr>
        <w:spacing w:before="0" w:after="0"/>
      </w:pPr>
      <w:r>
        <w:t>Contagion Effects</w:t>
      </w:r>
    </w:p>
    <w:p>
      <w:pPr>
        <w:numPr>
          <w:ilvl w:val="1"/>
          <w:numId w:val="900"/>
        </w:numPr>
        <w:spacing w:before="0" w:after="0"/>
      </w:pPr>
      <w:r>
        <w:t>Policy Responses</w:t>
      </w:r>
    </w:p>
    <w:p>
      <w:pPr>
        <w:numPr>
          <w:ilvl w:val="0"/>
          <w:numId w:val="900"/>
        </w:numPr>
        <w:spacing w:before="0" w:after="0"/>
      </w:pPr>
      <w:r>
        <w:t>The Impossible Trinity</w:t>
      </w:r>
    </w:p>
    <w:p>
      <w:pPr>
        <w:numPr>
          <w:ilvl w:val="1"/>
          <w:numId w:val="900"/>
        </w:numPr>
        <w:spacing w:before="0" w:after="0"/>
      </w:pPr>
      <w:r>
        <w:t>Exchange Rate Stability</w:t>
      </w:r>
    </w:p>
    <w:p>
      <w:pPr>
        <w:numPr>
          <w:ilvl w:val="1"/>
          <w:numId w:val="900"/>
        </w:numPr>
        <w:spacing w:before="0" w:after="0"/>
      </w:pPr>
      <w:r>
        <w:t>Monetary Policy Independence</w:t>
      </w:r>
    </w:p>
    <w:p>
      <w:pPr>
        <w:numPr>
          <w:ilvl w:val="1"/>
          <w:numId w:val="900"/>
        </w:numPr>
        <w:spacing w:before="0" w:after="0"/>
      </w:pPr>
      <w:r>
        <w:t>Capital Mobility</w:t>
      </w:r>
    </w:p>
    <w:p>
      <w:pPr>
        <w:pStyle w:val="Heading1"/>
      </w:pPr>
      <w:r>
        <w:t>Foreign Exchange Risk Management</w:t>
      </w:r>
    </w:p>
    <w:p>
      <w:pPr>
        <w:numPr>
          <w:ilvl w:val="0"/>
          <w:numId w:val="900"/>
        </w:numPr>
        <w:spacing w:before="0" w:after="0"/>
      </w:pPr>
      <w:r>
        <w:t>Types of Foreign Exchange Exposure</w:t>
      </w:r>
    </w:p>
    <w:p>
      <w:pPr>
        <w:numPr>
          <w:ilvl w:val="1"/>
          <w:numId w:val="900"/>
        </w:numPr>
        <w:spacing w:before="0" w:after="0"/>
      </w:pPr>
      <w:r>
        <w:t>Transaction Exposure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1"/>
          <w:numId w:val="900"/>
        </w:numPr>
        <w:spacing w:before="0" w:after="0"/>
      </w:pPr>
      <w:r>
        <w:t>Translation Exposure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1"/>
          <w:numId w:val="900"/>
        </w:numPr>
        <w:spacing w:before="0" w:after="0"/>
      </w:pPr>
      <w:r>
        <w:t>Economic Exposure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0"/>
          <w:numId w:val="900"/>
        </w:numPr>
        <w:spacing w:before="0" w:after="0"/>
      </w:pPr>
      <w:r>
        <w:t>Managing Transaction Exposure</w:t>
      </w:r>
    </w:p>
    <w:p>
      <w:pPr>
        <w:numPr>
          <w:ilvl w:val="1"/>
          <w:numId w:val="900"/>
        </w:numPr>
        <w:spacing w:before="0" w:after="0"/>
      </w:pPr>
      <w:r>
        <w:t>Hedging with Forward Contracts</w:t>
      </w:r>
    </w:p>
    <w:p>
      <w:pPr>
        <w:numPr>
          <w:ilvl w:val="1"/>
          <w:numId w:val="900"/>
        </w:numPr>
        <w:spacing w:before="0" w:after="0"/>
      </w:pPr>
      <w:r>
        <w:t>Hedging with Money Market Instruments</w:t>
      </w:r>
    </w:p>
    <w:p>
      <w:pPr>
        <w:numPr>
          <w:ilvl w:val="1"/>
          <w:numId w:val="900"/>
        </w:numPr>
        <w:spacing w:before="0" w:after="0"/>
      </w:pPr>
      <w:r>
        <w:t>Hedging with Options Contracts</w:t>
      </w:r>
    </w:p>
    <w:p>
      <w:pPr>
        <w:numPr>
          <w:ilvl w:val="1"/>
          <w:numId w:val="900"/>
        </w:numPr>
        <w:spacing w:before="0" w:after="0"/>
      </w:pPr>
      <w:r>
        <w:t>Hedging with Futures Contracts</w:t>
      </w:r>
    </w:p>
    <w:p>
      <w:pPr>
        <w:numPr>
          <w:ilvl w:val="1"/>
          <w:numId w:val="900"/>
        </w:numPr>
        <w:spacing w:before="0" w:after="0"/>
      </w:pPr>
      <w:r>
        <w:t>Internal Hedging Techniques</w:t>
      </w:r>
    </w:p>
    <w:p>
      <w:pPr>
        <w:numPr>
          <w:ilvl w:val="2"/>
          <w:numId w:val="900"/>
        </w:numPr>
        <w:spacing w:before="0" w:after="0"/>
      </w:pPr>
      <w:r>
        <w:t>Leading and Lagging</w:t>
      </w:r>
    </w:p>
    <w:p>
      <w:pPr>
        <w:numPr>
          <w:ilvl w:val="2"/>
          <w:numId w:val="900"/>
        </w:numPr>
        <w:spacing w:before="0" w:after="0"/>
      </w:pPr>
      <w:r>
        <w:t>Netting</w:t>
      </w:r>
    </w:p>
    <w:p>
      <w:pPr>
        <w:numPr>
          <w:ilvl w:val="2"/>
          <w:numId w:val="900"/>
        </w:numPr>
        <w:spacing w:before="0" w:after="0"/>
      </w:pPr>
      <w:r>
        <w:t>Invoicing in Home Currency</w:t>
      </w:r>
    </w:p>
    <w:p>
      <w:pPr>
        <w:numPr>
          <w:ilvl w:val="0"/>
          <w:numId w:val="900"/>
        </w:numPr>
        <w:spacing w:before="0" w:after="0"/>
      </w:pPr>
      <w:r>
        <w:t>Managing Translation Exposure</w:t>
      </w:r>
    </w:p>
    <w:p>
      <w:pPr>
        <w:numPr>
          <w:ilvl w:val="1"/>
          <w:numId w:val="900"/>
        </w:numPr>
        <w:spacing w:before="0" w:after="0"/>
      </w:pPr>
      <w:r>
        <w:t>Balance Sheet Hedge</w:t>
      </w:r>
    </w:p>
    <w:p>
      <w:pPr>
        <w:numPr>
          <w:ilvl w:val="1"/>
          <w:numId w:val="900"/>
        </w:numPr>
        <w:spacing w:before="0" w:after="0"/>
      </w:pPr>
      <w:r>
        <w:t>Functional Currency Selection</w:t>
      </w:r>
    </w:p>
    <w:p>
      <w:pPr>
        <w:numPr>
          <w:ilvl w:val="1"/>
          <w:numId w:val="900"/>
        </w:numPr>
        <w:spacing w:before="0" w:after="0"/>
      </w:pPr>
      <w:r>
        <w:t>Accounting Standards and Methods</w:t>
      </w:r>
    </w:p>
    <w:p>
      <w:pPr>
        <w:numPr>
          <w:ilvl w:val="0"/>
          <w:numId w:val="900"/>
        </w:numPr>
        <w:spacing w:before="0" w:after="0"/>
      </w:pPr>
      <w:r>
        <w:t>Managing Economic Exposure</w:t>
      </w:r>
    </w:p>
    <w:p>
      <w:pPr>
        <w:numPr>
          <w:ilvl w:val="1"/>
          <w:numId w:val="900"/>
        </w:numPr>
        <w:spacing w:before="0" w:after="0"/>
      </w:pPr>
      <w:r>
        <w:t>Diversifying Operations</w:t>
      </w:r>
    </w:p>
    <w:p>
      <w:pPr>
        <w:numPr>
          <w:ilvl w:val="1"/>
          <w:numId w:val="900"/>
        </w:numPr>
        <w:spacing w:before="0" w:after="0"/>
      </w:pPr>
      <w:r>
        <w:t>Diversifying Financing</w:t>
      </w:r>
    </w:p>
    <w:p>
      <w:pPr>
        <w:numPr>
          <w:ilvl w:val="1"/>
          <w:numId w:val="900"/>
        </w:numPr>
        <w:spacing w:before="0" w:after="0"/>
      </w:pPr>
      <w:r>
        <w:t>Strategic Pricing and Sourcing</w:t>
      </w:r>
    </w:p>
    <w:p>
      <w:pPr>
        <w:numPr>
          <w:ilvl w:val="1"/>
          <w:numId w:val="900"/>
        </w:numPr>
        <w:spacing w:before="0" w:after="0"/>
      </w:pPr>
      <w:r>
        <w:t>Operational Flexibility</w:t>
      </w:r>
    </w:p>
    <w:p>
      <w:pPr>
        <w:pStyle w:val="Heading1"/>
      </w:pPr>
      <w:r>
        <w:t>Currency Derivatives</w:t>
      </w:r>
    </w:p>
    <w:p>
      <w:pPr>
        <w:numPr>
          <w:ilvl w:val="0"/>
          <w:numId w:val="900"/>
        </w:numPr>
        <w:spacing w:before="0" w:after="0"/>
      </w:pPr>
      <w:r>
        <w:t>Forward Contracts</w:t>
      </w:r>
    </w:p>
    <w:p>
      <w:pPr>
        <w:numPr>
          <w:ilvl w:val="1"/>
          <w:numId w:val="900"/>
        </w:numPr>
        <w:spacing w:before="0" w:after="0"/>
      </w:pPr>
      <w:r>
        <w:t>Outright Forwards</w:t>
      </w:r>
    </w:p>
    <w:p>
      <w:pPr>
        <w:numPr>
          <w:ilvl w:val="2"/>
          <w:numId w:val="900"/>
        </w:numPr>
        <w:spacing w:before="0" w:after="0"/>
      </w:pPr>
      <w:r>
        <w:t>Contract Structure</w:t>
      </w:r>
    </w:p>
    <w:p>
      <w:pPr>
        <w:numPr>
          <w:ilvl w:val="2"/>
          <w:numId w:val="900"/>
        </w:numPr>
        <w:spacing w:before="0" w:after="0"/>
      </w:pPr>
      <w:r>
        <w:t>Settlement and Delivery</w:t>
      </w:r>
    </w:p>
    <w:p>
      <w:pPr>
        <w:numPr>
          <w:ilvl w:val="1"/>
          <w:numId w:val="900"/>
        </w:numPr>
        <w:spacing w:before="0" w:after="0"/>
      </w:pPr>
      <w:r>
        <w:t>Non-Deliverable Forwards</w:t>
      </w:r>
    </w:p>
    <w:p>
      <w:pPr>
        <w:numPr>
          <w:ilvl w:val="2"/>
          <w:numId w:val="900"/>
        </w:numPr>
        <w:spacing w:before="0" w:after="0"/>
      </w:pPr>
      <w:r>
        <w:t>Structure and Usage</w:t>
      </w:r>
    </w:p>
    <w:p>
      <w:pPr>
        <w:numPr>
          <w:ilvl w:val="2"/>
          <w:numId w:val="900"/>
        </w:numPr>
        <w:spacing w:before="0" w:after="0"/>
      </w:pPr>
      <w:r>
        <w:t>Settlement Process</w:t>
      </w:r>
    </w:p>
    <w:p>
      <w:pPr>
        <w:numPr>
          <w:ilvl w:val="0"/>
          <w:numId w:val="900"/>
        </w:numPr>
        <w:spacing w:before="0" w:after="0"/>
      </w:pPr>
      <w:r>
        <w:t>Currency Futures Contracts</w:t>
      </w:r>
    </w:p>
    <w:p>
      <w:pPr>
        <w:numPr>
          <w:ilvl w:val="1"/>
          <w:numId w:val="900"/>
        </w:numPr>
        <w:spacing w:before="0" w:after="0"/>
      </w:pPr>
      <w:r>
        <w:t>Contract Specifications</w:t>
      </w:r>
    </w:p>
    <w:p>
      <w:pPr>
        <w:numPr>
          <w:ilvl w:val="2"/>
          <w:numId w:val="900"/>
        </w:numPr>
        <w:spacing w:before="0" w:after="0"/>
      </w:pPr>
      <w:r>
        <w:t>Standardization</w:t>
      </w:r>
    </w:p>
    <w:p>
      <w:pPr>
        <w:numPr>
          <w:ilvl w:val="2"/>
          <w:numId w:val="900"/>
        </w:numPr>
        <w:spacing w:before="0" w:after="0"/>
      </w:pPr>
      <w:r>
        <w:t>Margin Requirements</w:t>
      </w:r>
    </w:p>
    <w:p>
      <w:pPr>
        <w:numPr>
          <w:ilvl w:val="1"/>
          <w:numId w:val="900"/>
        </w:numPr>
        <w:spacing w:before="0" w:after="0"/>
      </w:pPr>
      <w:r>
        <w:t>Trading and Settlement</w:t>
      </w:r>
    </w:p>
    <w:p>
      <w:pPr>
        <w:numPr>
          <w:ilvl w:val="1"/>
          <w:numId w:val="900"/>
        </w:numPr>
        <w:spacing w:before="0" w:after="0"/>
      </w:pPr>
      <w:r>
        <w:t>Comparison with Forward Contracts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0"/>
          <w:numId w:val="900"/>
        </w:numPr>
        <w:spacing w:before="0" w:after="0"/>
      </w:pPr>
      <w:r>
        <w:t>Currency Options</w:t>
      </w:r>
    </w:p>
    <w:p>
      <w:pPr>
        <w:numPr>
          <w:ilvl w:val="1"/>
          <w:numId w:val="900"/>
        </w:numPr>
        <w:spacing w:before="0" w:after="0"/>
      </w:pPr>
      <w:r>
        <w:t>Call Options</w:t>
      </w:r>
    </w:p>
    <w:p>
      <w:pPr>
        <w:numPr>
          <w:ilvl w:val="2"/>
          <w:numId w:val="900"/>
        </w:numPr>
        <w:spacing w:before="0" w:after="0"/>
      </w:pPr>
      <w:r>
        <w:t>Payoff Profiles</w:t>
      </w:r>
    </w:p>
    <w:p>
      <w:pPr>
        <w:numPr>
          <w:ilvl w:val="2"/>
          <w:numId w:val="900"/>
        </w:numPr>
        <w:spacing w:before="0" w:after="0"/>
      </w:pPr>
      <w:r>
        <w:t>Uses in Hedging and Speculation</w:t>
      </w:r>
    </w:p>
    <w:p>
      <w:pPr>
        <w:numPr>
          <w:ilvl w:val="1"/>
          <w:numId w:val="900"/>
        </w:numPr>
        <w:spacing w:before="0" w:after="0"/>
      </w:pPr>
      <w:r>
        <w:t>Put Options</w:t>
      </w:r>
    </w:p>
    <w:p>
      <w:pPr>
        <w:numPr>
          <w:ilvl w:val="2"/>
          <w:numId w:val="900"/>
        </w:numPr>
        <w:spacing w:before="0" w:after="0"/>
      </w:pPr>
      <w:r>
        <w:t>Payoff Profiles</w:t>
      </w:r>
    </w:p>
    <w:p>
      <w:pPr>
        <w:numPr>
          <w:ilvl w:val="2"/>
          <w:numId w:val="900"/>
        </w:numPr>
        <w:spacing w:before="0" w:after="0"/>
      </w:pPr>
      <w:r>
        <w:t>Uses in Hedging and Speculation</w:t>
      </w:r>
    </w:p>
    <w:p>
      <w:pPr>
        <w:numPr>
          <w:ilvl w:val="1"/>
          <w:numId w:val="900"/>
        </w:numPr>
        <w:spacing w:before="0" w:after="0"/>
      </w:pPr>
      <w:r>
        <w:t>Option Pricing and Valuation</w:t>
      </w:r>
    </w:p>
    <w:p>
      <w:pPr>
        <w:numPr>
          <w:ilvl w:val="2"/>
          <w:numId w:val="900"/>
        </w:numPr>
        <w:spacing w:before="0" w:after="0"/>
      </w:pPr>
      <w:r>
        <w:t>Intrinsic Value</w:t>
      </w:r>
    </w:p>
    <w:p>
      <w:pPr>
        <w:numPr>
          <w:ilvl w:val="2"/>
          <w:numId w:val="900"/>
        </w:numPr>
        <w:spacing w:before="0" w:after="0"/>
      </w:pPr>
      <w:r>
        <w:t>Time Value</w:t>
      </w:r>
    </w:p>
    <w:p>
      <w:pPr>
        <w:numPr>
          <w:ilvl w:val="2"/>
          <w:numId w:val="900"/>
        </w:numPr>
        <w:spacing w:before="0" w:after="0"/>
      </w:pPr>
      <w:r>
        <w:t>Black-Scholes Model</w:t>
      </w:r>
    </w:p>
    <w:p>
      <w:pPr>
        <w:numPr>
          <w:ilvl w:val="2"/>
          <w:numId w:val="900"/>
        </w:numPr>
        <w:spacing w:before="0" w:after="0"/>
      </w:pPr>
      <w:r>
        <w:t>Factors Affecting Option Prices</w:t>
      </w:r>
    </w:p>
    <w:p>
      <w:pPr>
        <w:numPr>
          <w:ilvl w:val="1"/>
          <w:numId w:val="900"/>
        </w:numPr>
        <w:spacing w:before="0" w:after="0"/>
      </w:pPr>
      <w:r>
        <w:t>Hedging Strategies with Options</w:t>
      </w:r>
    </w:p>
    <w:p>
      <w:pPr>
        <w:numPr>
          <w:ilvl w:val="2"/>
          <w:numId w:val="900"/>
        </w:numPr>
        <w:spacing w:before="0" w:after="0"/>
      </w:pPr>
      <w:r>
        <w:t>Protective Puts</w:t>
      </w:r>
    </w:p>
    <w:p>
      <w:pPr>
        <w:numPr>
          <w:ilvl w:val="2"/>
          <w:numId w:val="900"/>
        </w:numPr>
        <w:spacing w:before="0" w:after="0"/>
      </w:pPr>
      <w:r>
        <w:t>Covered Calls</w:t>
      </w:r>
    </w:p>
    <w:p>
      <w:pPr>
        <w:numPr>
          <w:ilvl w:val="2"/>
          <w:numId w:val="900"/>
        </w:numPr>
        <w:spacing w:before="0" w:after="0"/>
      </w:pPr>
      <w:r>
        <w:t>Option Combinations</w:t>
      </w:r>
    </w:p>
    <w:p>
      <w:pPr>
        <w:numPr>
          <w:ilvl w:val="0"/>
          <w:numId w:val="900"/>
        </w:numPr>
        <w:spacing w:before="0" w:after="0"/>
      </w:pPr>
      <w:r>
        <w:t>Currency Swaps</w:t>
      </w:r>
    </w:p>
    <w:p>
      <w:pPr>
        <w:numPr>
          <w:ilvl w:val="1"/>
          <w:numId w:val="900"/>
        </w:numPr>
        <w:spacing w:before="0" w:after="0"/>
      </w:pPr>
      <w:r>
        <w:t>Interest Rate Swaps</w:t>
      </w:r>
    </w:p>
    <w:p>
      <w:pPr>
        <w:numPr>
          <w:ilvl w:val="2"/>
          <w:numId w:val="900"/>
        </w:numPr>
        <w:spacing w:before="0" w:after="0"/>
      </w:pPr>
      <w:r>
        <w:t>Structure and Applications</w:t>
      </w:r>
    </w:p>
    <w:p>
      <w:pPr>
        <w:numPr>
          <w:ilvl w:val="1"/>
          <w:numId w:val="900"/>
        </w:numPr>
        <w:spacing w:before="0" w:after="0"/>
      </w:pPr>
      <w:r>
        <w:t>Currency Swaps</w:t>
      </w:r>
    </w:p>
    <w:p>
      <w:pPr>
        <w:numPr>
          <w:ilvl w:val="2"/>
          <w:numId w:val="900"/>
        </w:numPr>
        <w:spacing w:before="0" w:after="0"/>
      </w:pPr>
      <w:r>
        <w:t>Structure and Applications</w:t>
      </w:r>
    </w:p>
    <w:p>
      <w:pPr>
        <w:numPr>
          <w:ilvl w:val="2"/>
          <w:numId w:val="900"/>
        </w:numPr>
        <w:spacing w:before="0" w:after="0"/>
      </w:pPr>
      <w:r>
        <w:t>Uses in Risk Management</w:t>
      </w:r>
    </w:p>
    <w:p>
      <w:pPr>
        <w:pStyle w:val="Heading1"/>
      </w:pPr>
      <w:r>
        <w:t>International Financing and Investment</w:t>
      </w:r>
    </w:p>
    <w:p>
      <w:pPr>
        <w:numPr>
          <w:ilvl w:val="0"/>
          <w:numId w:val="900"/>
        </w:numPr>
        <w:spacing w:before="0" w:after="0"/>
      </w:pPr>
      <w:r>
        <w:t>International Capital Markets</w:t>
      </w:r>
    </w:p>
    <w:p>
      <w:pPr>
        <w:numPr>
          <w:ilvl w:val="1"/>
          <w:numId w:val="900"/>
        </w:numPr>
        <w:spacing w:before="0" w:after="0"/>
      </w:pPr>
      <w:r>
        <w:t>Structure and Function of Capital Markets</w:t>
      </w:r>
    </w:p>
    <w:p>
      <w:pPr>
        <w:numPr>
          <w:ilvl w:val="1"/>
          <w:numId w:val="900"/>
        </w:numPr>
        <w:spacing w:before="0" w:after="0"/>
      </w:pPr>
      <w:r>
        <w:t>The Eurocurrency Market</w:t>
      </w:r>
    </w:p>
    <w:p>
      <w:pPr>
        <w:numPr>
          <w:ilvl w:val="2"/>
          <w:numId w:val="900"/>
        </w:numPr>
        <w:spacing w:before="0" w:after="0"/>
      </w:pPr>
      <w:r>
        <w:t>Features and Participants</w:t>
      </w:r>
    </w:p>
    <w:p>
      <w:pPr>
        <w:numPr>
          <w:ilvl w:val="1"/>
          <w:numId w:val="900"/>
        </w:numPr>
        <w:spacing w:before="0" w:after="0"/>
      </w:pPr>
      <w:r>
        <w:t>The Eurobond Market</w:t>
      </w:r>
    </w:p>
    <w:p>
      <w:pPr>
        <w:numPr>
          <w:ilvl w:val="2"/>
          <w:numId w:val="900"/>
        </w:numPr>
        <w:spacing w:before="0" w:after="0"/>
      </w:pPr>
      <w:r>
        <w:t>Types of Eurobonds</w:t>
      </w:r>
    </w:p>
    <w:p>
      <w:pPr>
        <w:numPr>
          <w:ilvl w:val="2"/>
          <w:numId w:val="900"/>
        </w:numPr>
        <w:spacing w:before="0" w:after="0"/>
      </w:pPr>
      <w:r>
        <w:t>Issuance Process</w:t>
      </w:r>
    </w:p>
    <w:p>
      <w:pPr>
        <w:numPr>
          <w:ilvl w:val="1"/>
          <w:numId w:val="900"/>
        </w:numPr>
        <w:spacing w:before="0" w:after="0"/>
      </w:pPr>
      <w:r>
        <w:t>The International Stock Market</w:t>
      </w:r>
    </w:p>
    <w:p>
      <w:pPr>
        <w:numPr>
          <w:ilvl w:val="2"/>
          <w:numId w:val="900"/>
        </w:numPr>
        <w:spacing w:before="0" w:after="0"/>
      </w:pPr>
      <w:r>
        <w:t>Major International Exchanges</w:t>
      </w:r>
    </w:p>
    <w:p>
      <w:pPr>
        <w:numPr>
          <w:ilvl w:val="2"/>
          <w:numId w:val="900"/>
        </w:numPr>
        <w:spacing w:before="0" w:after="0"/>
      </w:pPr>
      <w:r>
        <w:t>Cross-Border Listings</w:t>
      </w:r>
    </w:p>
    <w:p>
      <w:pPr>
        <w:numPr>
          <w:ilvl w:val="0"/>
          <w:numId w:val="900"/>
        </w:numPr>
        <w:spacing w:before="0" w:after="0"/>
      </w:pPr>
      <w:r>
        <w:t>Sourcing Equity Globally</w:t>
      </w:r>
    </w:p>
    <w:p>
      <w:pPr>
        <w:numPr>
          <w:ilvl w:val="1"/>
          <w:numId w:val="900"/>
        </w:numPr>
        <w:spacing w:before="0" w:after="0"/>
      </w:pPr>
      <w:r>
        <w:t>Cross-listing</w:t>
      </w:r>
    </w:p>
    <w:p>
      <w:pPr>
        <w:numPr>
          <w:ilvl w:val="2"/>
          <w:numId w:val="900"/>
        </w:numPr>
        <w:spacing w:before="0" w:after="0"/>
      </w:pPr>
      <w:r>
        <w:t>Motivations and Benefits</w:t>
      </w:r>
    </w:p>
    <w:p>
      <w:pPr>
        <w:numPr>
          <w:ilvl w:val="2"/>
          <w:numId w:val="900"/>
        </w:numPr>
        <w:spacing w:before="0" w:after="0"/>
      </w:pPr>
      <w:r>
        <w:t>Regulatory Considerations</w:t>
      </w:r>
    </w:p>
    <w:p>
      <w:pPr>
        <w:numPr>
          <w:ilvl w:val="1"/>
          <w:numId w:val="900"/>
        </w:numPr>
        <w:spacing w:before="0" w:after="0"/>
      </w:pPr>
      <w:r>
        <w:t>American Depository Receipts</w:t>
      </w:r>
    </w:p>
    <w:p>
      <w:pPr>
        <w:numPr>
          <w:ilvl w:val="2"/>
          <w:numId w:val="900"/>
        </w:numPr>
        <w:spacing w:before="0" w:after="0"/>
      </w:pPr>
      <w:r>
        <w:t>Types of ADRs</w:t>
      </w:r>
    </w:p>
    <w:p>
      <w:pPr>
        <w:numPr>
          <w:ilvl w:val="2"/>
          <w:numId w:val="900"/>
        </w:numPr>
        <w:spacing w:before="0" w:after="0"/>
      </w:pPr>
      <w:r>
        <w:t>Trading and Settlement</w:t>
      </w:r>
    </w:p>
    <w:p>
      <w:pPr>
        <w:numPr>
          <w:ilvl w:val="0"/>
          <w:numId w:val="900"/>
        </w:numPr>
        <w:spacing w:before="0" w:after="0"/>
      </w:pPr>
      <w:r>
        <w:t>Sourcing Debt Globally</w:t>
      </w:r>
    </w:p>
    <w:p>
      <w:pPr>
        <w:numPr>
          <w:ilvl w:val="1"/>
          <w:numId w:val="900"/>
        </w:numPr>
        <w:spacing w:before="0" w:after="0"/>
      </w:pPr>
      <w:r>
        <w:t>International Bonds</w:t>
      </w:r>
    </w:p>
    <w:p>
      <w:pPr>
        <w:numPr>
          <w:ilvl w:val="2"/>
          <w:numId w:val="900"/>
        </w:numPr>
        <w:spacing w:before="0" w:after="0"/>
      </w:pPr>
      <w:r>
        <w:t>Foreign Bonds</w:t>
      </w:r>
    </w:p>
    <w:p>
      <w:pPr>
        <w:numPr>
          <w:ilvl w:val="2"/>
          <w:numId w:val="900"/>
        </w:numPr>
        <w:spacing w:before="0" w:after="0"/>
      </w:pPr>
      <w:r>
        <w:t>Global Bonds</w:t>
      </w:r>
    </w:p>
    <w:p>
      <w:pPr>
        <w:numPr>
          <w:ilvl w:val="1"/>
          <w:numId w:val="900"/>
        </w:numPr>
        <w:spacing w:before="0" w:after="0"/>
      </w:pPr>
      <w:r>
        <w:t>Eurocredits</w:t>
      </w:r>
    </w:p>
    <w:p>
      <w:pPr>
        <w:numPr>
          <w:ilvl w:val="2"/>
          <w:numId w:val="900"/>
        </w:numPr>
        <w:spacing w:before="0" w:after="0"/>
      </w:pPr>
      <w:r>
        <w:t>Syndicated Loans</w:t>
      </w:r>
    </w:p>
    <w:p>
      <w:pPr>
        <w:numPr>
          <w:ilvl w:val="2"/>
          <w:numId w:val="900"/>
        </w:numPr>
        <w:spacing w:before="0" w:after="0"/>
      </w:pPr>
      <w:r>
        <w:t>Pricing and Terms</w:t>
      </w:r>
    </w:p>
    <w:p>
      <w:pPr>
        <w:numPr>
          <w:ilvl w:val="0"/>
          <w:numId w:val="900"/>
        </w:numPr>
        <w:spacing w:before="0" w:after="0"/>
      </w:pPr>
      <w:r>
        <w:t>International Capital Budgeting</w:t>
      </w:r>
    </w:p>
    <w:p>
      <w:pPr>
        <w:numPr>
          <w:ilvl w:val="1"/>
          <w:numId w:val="900"/>
        </w:numPr>
        <w:spacing w:before="0" w:after="0"/>
      </w:pPr>
      <w:r>
        <w:t>Project Evaluation Techniques</w:t>
      </w:r>
    </w:p>
    <w:p>
      <w:pPr>
        <w:numPr>
          <w:ilvl w:val="2"/>
          <w:numId w:val="900"/>
        </w:numPr>
        <w:spacing w:before="0" w:after="0"/>
      </w:pPr>
      <w:r>
        <w:t>Net Present Value</w:t>
      </w:r>
    </w:p>
    <w:p>
      <w:pPr>
        <w:numPr>
          <w:ilvl w:val="2"/>
          <w:numId w:val="900"/>
        </w:numPr>
        <w:spacing w:before="0" w:after="0"/>
      </w:pPr>
      <w:r>
        <w:t>Internal Rate of Return</w:t>
      </w:r>
    </w:p>
    <w:p>
      <w:pPr>
        <w:numPr>
          <w:ilvl w:val="1"/>
          <w:numId w:val="900"/>
        </w:numPr>
        <w:spacing w:before="0" w:after="0"/>
      </w:pPr>
      <w:r>
        <w:t>Adjusting for Political and Economic Risk</w:t>
      </w:r>
    </w:p>
    <w:p>
      <w:pPr>
        <w:numPr>
          <w:ilvl w:val="2"/>
          <w:numId w:val="900"/>
        </w:numPr>
        <w:spacing w:before="0" w:after="0"/>
      </w:pPr>
      <w:r>
        <w:t>Country Risk Analysis</w:t>
      </w:r>
    </w:p>
    <w:p>
      <w:pPr>
        <w:numPr>
          <w:ilvl w:val="2"/>
          <w:numId w:val="900"/>
        </w:numPr>
        <w:spacing w:before="0" w:after="0"/>
      </w:pPr>
      <w:r>
        <w:t>Scenario Analysis</w:t>
      </w:r>
    </w:p>
    <w:p>
      <w:pPr>
        <w:numPr>
          <w:ilvl w:val="1"/>
          <w:numId w:val="900"/>
        </w:numPr>
        <w:spacing w:before="0" w:after="0"/>
      </w:pPr>
      <w:r>
        <w:t>Calculating NPV for Foreign Projects</w:t>
      </w:r>
    </w:p>
    <w:p>
      <w:pPr>
        <w:numPr>
          <w:ilvl w:val="2"/>
          <w:numId w:val="900"/>
        </w:numPr>
        <w:spacing w:before="0" w:after="0"/>
      </w:pPr>
      <w:r>
        <w:t>Cash Flow Estimation</w:t>
      </w:r>
    </w:p>
    <w:p>
      <w:pPr>
        <w:numPr>
          <w:ilvl w:val="2"/>
          <w:numId w:val="900"/>
        </w:numPr>
        <w:spacing w:before="0" w:after="0"/>
      </w:pPr>
      <w:r>
        <w:t>Discount Rate Selection</w:t>
      </w:r>
    </w:p>
    <w:p>
      <w:pPr>
        <w:numPr>
          <w:ilvl w:val="2"/>
          <w:numId w:val="900"/>
        </w:numPr>
        <w:spacing w:before="0" w:after="0"/>
      </w:pPr>
      <w:r>
        <w:t>Repatriation of Profits</w:t>
      </w:r>
    </w:p>
    <w:p>
      <w:pPr>
        <w:numPr>
          <w:ilvl w:val="0"/>
          <w:numId w:val="900"/>
        </w:numPr>
        <w:spacing w:before="0" w:after="0"/>
      </w:pPr>
      <w:r>
        <w:t>Foreign Direct Investment</w:t>
      </w:r>
    </w:p>
    <w:p>
      <w:pPr>
        <w:numPr>
          <w:ilvl w:val="1"/>
          <w:numId w:val="900"/>
        </w:numPr>
        <w:spacing w:before="0" w:after="0"/>
      </w:pPr>
      <w:r>
        <w:t>Motivations for FDI</w:t>
      </w:r>
    </w:p>
    <w:p>
      <w:pPr>
        <w:numPr>
          <w:ilvl w:val="2"/>
          <w:numId w:val="900"/>
        </w:numPr>
        <w:spacing w:before="0" w:after="0"/>
      </w:pPr>
      <w:r>
        <w:t>Market Seeking</w:t>
      </w:r>
    </w:p>
    <w:p>
      <w:pPr>
        <w:numPr>
          <w:ilvl w:val="2"/>
          <w:numId w:val="900"/>
        </w:numPr>
        <w:spacing w:before="0" w:after="0"/>
      </w:pPr>
      <w:r>
        <w:t>Resource Seeking</w:t>
      </w:r>
    </w:p>
    <w:p>
      <w:pPr>
        <w:numPr>
          <w:ilvl w:val="2"/>
          <w:numId w:val="900"/>
        </w:numPr>
        <w:spacing w:before="0" w:after="0"/>
      </w:pPr>
      <w:r>
        <w:t>Efficiency Seeking</w:t>
      </w:r>
    </w:p>
    <w:p>
      <w:pPr>
        <w:numPr>
          <w:ilvl w:val="1"/>
          <w:numId w:val="900"/>
        </w:numPr>
        <w:spacing w:before="0" w:after="0"/>
      </w:pPr>
      <w:r>
        <w:t>Political Risk Assessment and Management</w:t>
      </w:r>
    </w:p>
    <w:p>
      <w:pPr>
        <w:numPr>
          <w:ilvl w:val="2"/>
          <w:numId w:val="900"/>
        </w:numPr>
        <w:spacing w:before="0" w:after="0"/>
      </w:pPr>
      <w:r>
        <w:t>Types of Political Risk</w:t>
      </w:r>
    </w:p>
    <w:p>
      <w:pPr>
        <w:numPr>
          <w:ilvl w:val="2"/>
          <w:numId w:val="900"/>
        </w:numPr>
        <w:spacing w:before="0" w:after="0"/>
      </w:pPr>
      <w:r>
        <w:t>Risk Mitigation Strategies</w:t>
      </w:r>
    </w:p>
    <w:p>
      <w:pPr>
        <w:pStyle w:val="Heading1"/>
      </w:pPr>
      <w:r>
        <w:t>International Financial Crises and Governance</w:t>
      </w:r>
    </w:p>
    <w:p>
      <w:pPr>
        <w:numPr>
          <w:ilvl w:val="0"/>
          <w:numId w:val="900"/>
        </w:numPr>
        <w:spacing w:before="0" w:after="0"/>
      </w:pPr>
      <w:r>
        <w:t>Anatomy of a Financial Crisis</w:t>
      </w:r>
    </w:p>
    <w:p>
      <w:pPr>
        <w:numPr>
          <w:ilvl w:val="1"/>
          <w:numId w:val="900"/>
        </w:numPr>
        <w:spacing w:before="0" w:after="0"/>
      </w:pPr>
      <w:r>
        <w:t>Stages of a Crisis</w:t>
      </w:r>
    </w:p>
    <w:p>
      <w:pPr>
        <w:numPr>
          <w:ilvl w:val="1"/>
          <w:numId w:val="900"/>
        </w:numPr>
        <w:spacing w:before="0" w:after="0"/>
      </w:pPr>
      <w:r>
        <w:t>Currency Crises</w:t>
      </w:r>
    </w:p>
    <w:p>
      <w:pPr>
        <w:numPr>
          <w:ilvl w:val="1"/>
          <w:numId w:val="900"/>
        </w:numPr>
        <w:spacing w:before="0" w:after="0"/>
      </w:pPr>
      <w:r>
        <w:t>Banking Crises</w:t>
      </w:r>
    </w:p>
    <w:p>
      <w:pPr>
        <w:numPr>
          <w:ilvl w:val="1"/>
          <w:numId w:val="900"/>
        </w:numPr>
        <w:spacing w:before="0" w:after="0"/>
      </w:pPr>
      <w:r>
        <w:t>Sovereign Debt Crises</w:t>
      </w:r>
    </w:p>
    <w:p>
      <w:pPr>
        <w:numPr>
          <w:ilvl w:val="1"/>
          <w:numId w:val="900"/>
        </w:numPr>
        <w:spacing w:before="0" w:after="0"/>
      </w:pPr>
      <w:r>
        <w:t>Contagion and Spillover Effects</w:t>
      </w:r>
    </w:p>
    <w:p>
      <w:pPr>
        <w:numPr>
          <w:ilvl w:val="0"/>
          <w:numId w:val="900"/>
        </w:numPr>
        <w:spacing w:before="0" w:after="0"/>
      </w:pPr>
      <w:r>
        <w:t>Notable Historical Crises</w:t>
      </w:r>
    </w:p>
    <w:p>
      <w:pPr>
        <w:numPr>
          <w:ilvl w:val="1"/>
          <w:numId w:val="900"/>
        </w:numPr>
        <w:spacing w:before="0" w:after="0"/>
      </w:pPr>
      <w:r>
        <w:t>The Mexican Peso Crisis</w:t>
      </w:r>
    </w:p>
    <w:p>
      <w:pPr>
        <w:numPr>
          <w:ilvl w:val="2"/>
          <w:numId w:val="900"/>
        </w:numPr>
        <w:spacing w:before="0" w:after="0"/>
      </w:pPr>
      <w:r>
        <w:t>Causes and Consequences</w:t>
      </w:r>
    </w:p>
    <w:p>
      <w:pPr>
        <w:numPr>
          <w:ilvl w:val="1"/>
          <w:numId w:val="900"/>
        </w:numPr>
        <w:spacing w:before="0" w:after="0"/>
      </w:pPr>
      <w:r>
        <w:t>The Asian Financial Crisis</w:t>
      </w:r>
    </w:p>
    <w:p>
      <w:pPr>
        <w:numPr>
          <w:ilvl w:val="2"/>
          <w:numId w:val="900"/>
        </w:numPr>
        <w:spacing w:before="0" w:after="0"/>
      </w:pPr>
      <w:r>
        <w:t>Causes and Consequences</w:t>
      </w:r>
    </w:p>
    <w:p>
      <w:pPr>
        <w:numPr>
          <w:ilvl w:val="1"/>
          <w:numId w:val="900"/>
        </w:numPr>
        <w:spacing w:before="0" w:after="0"/>
      </w:pPr>
      <w:r>
        <w:t>The Russian Ruble Crisis</w:t>
      </w:r>
    </w:p>
    <w:p>
      <w:pPr>
        <w:numPr>
          <w:ilvl w:val="2"/>
          <w:numId w:val="900"/>
        </w:numPr>
        <w:spacing w:before="0" w:after="0"/>
      </w:pPr>
      <w:r>
        <w:t>Causes and Consequences</w:t>
      </w:r>
    </w:p>
    <w:p>
      <w:pPr>
        <w:numPr>
          <w:ilvl w:val="1"/>
          <w:numId w:val="900"/>
        </w:numPr>
        <w:spacing w:before="0" w:after="0"/>
      </w:pPr>
      <w:r>
        <w:t>The Global Financial Crisis</w:t>
      </w:r>
    </w:p>
    <w:p>
      <w:pPr>
        <w:numPr>
          <w:ilvl w:val="2"/>
          <w:numId w:val="900"/>
        </w:numPr>
        <w:spacing w:before="0" w:after="0"/>
      </w:pPr>
      <w:r>
        <w:t>Causes and Consequences</w:t>
      </w:r>
    </w:p>
    <w:p>
      <w:pPr>
        <w:numPr>
          <w:ilvl w:val="1"/>
          <w:numId w:val="900"/>
        </w:numPr>
        <w:spacing w:before="0" w:after="0"/>
      </w:pPr>
      <w:r>
        <w:t>The European Sovereign Debt Crisis</w:t>
      </w:r>
    </w:p>
    <w:p>
      <w:pPr>
        <w:numPr>
          <w:ilvl w:val="2"/>
          <w:numId w:val="900"/>
        </w:numPr>
        <w:spacing w:before="0" w:after="0"/>
      </w:pPr>
      <w:r>
        <w:t>Causes and Consequences</w:t>
      </w:r>
    </w:p>
    <w:p>
      <w:pPr>
        <w:numPr>
          <w:ilvl w:val="0"/>
          <w:numId w:val="900"/>
        </w:numPr>
        <w:spacing w:before="0" w:after="0"/>
      </w:pPr>
      <w:r>
        <w:t>International Financial Institutions</w:t>
      </w:r>
    </w:p>
    <w:p>
      <w:pPr>
        <w:numPr>
          <w:ilvl w:val="1"/>
          <w:numId w:val="900"/>
        </w:numPr>
        <w:spacing w:before="0" w:after="0"/>
      </w:pPr>
      <w:r>
        <w:t>The International Monetary Fund</w:t>
      </w:r>
    </w:p>
    <w:p>
      <w:pPr>
        <w:numPr>
          <w:ilvl w:val="2"/>
          <w:numId w:val="900"/>
        </w:numPr>
        <w:spacing w:before="0" w:after="0"/>
      </w:pPr>
      <w:r>
        <w:t>Structure and Functions</w:t>
      </w:r>
    </w:p>
    <w:p>
      <w:pPr>
        <w:numPr>
          <w:ilvl w:val="2"/>
          <w:numId w:val="900"/>
        </w:numPr>
        <w:spacing w:before="0" w:after="0"/>
      </w:pPr>
      <w:r>
        <w:t>Lending Facilities</w:t>
      </w:r>
    </w:p>
    <w:p>
      <w:pPr>
        <w:numPr>
          <w:ilvl w:val="2"/>
          <w:numId w:val="900"/>
        </w:numPr>
        <w:spacing w:before="0" w:after="0"/>
      </w:pPr>
      <w:r>
        <w:t>Conditionality and Surveillance</w:t>
      </w:r>
    </w:p>
    <w:p>
      <w:pPr>
        <w:numPr>
          <w:ilvl w:val="1"/>
          <w:numId w:val="900"/>
        </w:numPr>
        <w:spacing w:before="0" w:after="0"/>
      </w:pPr>
      <w:r>
        <w:t>The World Bank</w:t>
      </w:r>
    </w:p>
    <w:p>
      <w:pPr>
        <w:numPr>
          <w:ilvl w:val="2"/>
          <w:numId w:val="900"/>
        </w:numPr>
        <w:spacing w:before="0" w:after="0"/>
      </w:pPr>
      <w:r>
        <w:t>Structure and Functions</w:t>
      </w:r>
    </w:p>
    <w:p>
      <w:pPr>
        <w:numPr>
          <w:ilvl w:val="2"/>
          <w:numId w:val="900"/>
        </w:numPr>
        <w:spacing w:before="0" w:after="0"/>
      </w:pPr>
      <w:r>
        <w:t>Development Programs</w:t>
      </w:r>
    </w:p>
    <w:p>
      <w:pPr>
        <w:numPr>
          <w:ilvl w:val="1"/>
          <w:numId w:val="900"/>
        </w:numPr>
        <w:spacing w:before="0" w:after="0"/>
      </w:pPr>
      <w:r>
        <w:t>The Bank for International Settlements</w:t>
      </w:r>
    </w:p>
    <w:p>
      <w:pPr>
        <w:numPr>
          <w:ilvl w:val="2"/>
          <w:numId w:val="900"/>
        </w:numPr>
        <w:spacing w:before="0" w:after="0"/>
      </w:pPr>
      <w:r>
        <w:t>Role in Global Financial Stability</w:t>
      </w:r>
    </w:p>
    <w:p>
      <w:pPr>
        <w:numPr>
          <w:ilvl w:val="2"/>
          <w:numId w:val="900"/>
        </w:numPr>
        <w:spacing w:before="0" w:after="0"/>
      </w:pPr>
      <w:r>
        <w:t>Services to Central Banks</w:t>
      </w:r>
    </w:p>
    <w:p>
      <w:pPr>
        <w:numPr>
          <w:ilvl w:val="1"/>
          <w:numId w:val="900"/>
        </w:numPr>
        <w:spacing w:before="0" w:after="0"/>
      </w:pPr>
      <w:r>
        <w:t>Other Regional and Multilateral Institutions</w:t>
      </w:r>
    </w:p>
    <w:p>
      <w:pPr>
        <w:numPr>
          <w:ilvl w:val="2"/>
          <w:numId w:val="900"/>
        </w:numPr>
        <w:spacing w:before="0" w:after="0"/>
      </w:pPr>
      <w:r>
        <w:t>Asian Development Bank</w:t>
      </w:r>
    </w:p>
    <w:p>
      <w:pPr>
        <w:numPr>
          <w:ilvl w:val="2"/>
          <w:numId w:val="900"/>
        </w:numPr>
        <w:spacing w:before="0" w:after="0"/>
      </w:pPr>
      <w:r>
        <w:t>European Bank for Reconstruction and Development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