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Financial Analysis</w:t>
      </w:r>
    </w:p>
    <w:p>
      <w:pPr>
        <w:pStyle w:val="Heading1"/>
      </w:pPr>
      <w:r>
        <w:t>Introduction to Financial Analysis</w:t>
      </w:r>
    </w:p>
    <w:p>
      <w:pPr>
        <w:numPr>
          <w:ilvl w:val="0"/>
          <w:numId w:val="900"/>
        </w:numPr>
        <w:spacing w:before="0" w:after="0"/>
      </w:pPr>
      <w:r>
        <w:t>Definition and Scope of Financial Analysis</w:t>
      </w:r>
    </w:p>
    <w:p>
      <w:pPr>
        <w:numPr>
          <w:ilvl w:val="1"/>
          <w:numId w:val="900"/>
        </w:numPr>
        <w:spacing w:before="0" w:after="0"/>
      </w:pPr>
      <w:r>
        <w:t>What is Financial Analysis</w:t>
      </w:r>
    </w:p>
    <w:p>
      <w:pPr>
        <w:numPr>
          <w:ilvl w:val="1"/>
          <w:numId w:val="900"/>
        </w:numPr>
        <w:spacing w:before="0" w:after="0"/>
      </w:pPr>
      <w:r>
        <w:t>Role in Business Decision-Making</w:t>
      </w:r>
    </w:p>
    <w:p>
      <w:pPr>
        <w:numPr>
          <w:ilvl w:val="1"/>
          <w:numId w:val="900"/>
        </w:numPr>
        <w:spacing w:before="0" w:after="0"/>
      </w:pPr>
      <w:r>
        <w:t>Relationship to Accounting and Finance</w:t>
      </w:r>
    </w:p>
    <w:p>
      <w:pPr>
        <w:numPr>
          <w:ilvl w:val="0"/>
          <w:numId w:val="900"/>
        </w:numPr>
        <w:spacing w:before="0" w:after="0"/>
      </w:pPr>
      <w:r>
        <w:t>Objectives of Financial Analysis</w:t>
      </w:r>
    </w:p>
    <w:p>
      <w:pPr>
        <w:numPr>
          <w:ilvl w:val="1"/>
          <w:numId w:val="900"/>
        </w:numPr>
        <w:spacing w:before="0" w:after="0"/>
      </w:pPr>
      <w:r>
        <w:t>Assessing Financial Performance</w:t>
      </w:r>
    </w:p>
    <w:p>
      <w:pPr>
        <w:numPr>
          <w:ilvl w:val="1"/>
          <w:numId w:val="900"/>
        </w:numPr>
        <w:spacing w:before="0" w:after="0"/>
      </w:pPr>
      <w:r>
        <w:t>Evaluating Financial Position</w:t>
      </w:r>
    </w:p>
    <w:p>
      <w:pPr>
        <w:numPr>
          <w:ilvl w:val="1"/>
          <w:numId w:val="900"/>
        </w:numPr>
        <w:spacing w:before="0" w:after="0"/>
      </w:pPr>
      <w:r>
        <w:t>Measuring Operational Efficiency</w:t>
      </w:r>
    </w:p>
    <w:p>
      <w:pPr>
        <w:numPr>
          <w:ilvl w:val="1"/>
          <w:numId w:val="900"/>
        </w:numPr>
        <w:spacing w:before="0" w:after="0"/>
      </w:pPr>
      <w:r>
        <w:t>Determining Investment Attractiveness</w:t>
      </w:r>
    </w:p>
    <w:p>
      <w:pPr>
        <w:numPr>
          <w:ilvl w:val="1"/>
          <w:numId w:val="900"/>
        </w:numPr>
        <w:spacing w:before="0" w:after="0"/>
      </w:pPr>
      <w:r>
        <w:t>Identifying Financial Risks</w:t>
      </w:r>
    </w:p>
    <w:p>
      <w:pPr>
        <w:numPr>
          <w:ilvl w:val="1"/>
          <w:numId w:val="900"/>
        </w:numPr>
        <w:spacing w:before="0" w:after="0"/>
      </w:pPr>
      <w:r>
        <w:t>Supporting Strategic Planning</w:t>
      </w:r>
    </w:p>
    <w:p>
      <w:pPr>
        <w:numPr>
          <w:ilvl w:val="0"/>
          <w:numId w:val="900"/>
        </w:numPr>
        <w:spacing w:before="0" w:after="0"/>
      </w:pPr>
      <w:r>
        <w:t>Key Questions in Financial Analysis</w:t>
      </w:r>
    </w:p>
    <w:p>
      <w:pPr>
        <w:numPr>
          <w:ilvl w:val="1"/>
          <w:numId w:val="900"/>
        </w:numPr>
        <w:spacing w:before="0" w:after="0"/>
      </w:pPr>
      <w:r>
        <w:t>Profitability Assessment</w:t>
      </w:r>
    </w:p>
    <w:p>
      <w:pPr>
        <w:numPr>
          <w:ilvl w:val="1"/>
          <w:numId w:val="900"/>
        </w:numPr>
        <w:spacing w:before="0" w:after="0"/>
      </w:pPr>
      <w:r>
        <w:t>Liquidity Evaluation</w:t>
      </w:r>
    </w:p>
    <w:p>
      <w:pPr>
        <w:numPr>
          <w:ilvl w:val="1"/>
          <w:numId w:val="900"/>
        </w:numPr>
        <w:spacing w:before="0" w:after="0"/>
      </w:pPr>
      <w:r>
        <w:t>Solvency Analysis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1"/>
          <w:numId w:val="900"/>
        </w:numPr>
        <w:spacing w:before="0" w:after="0"/>
      </w:pPr>
      <w:r>
        <w:t>Growth Prospects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Users of Financial Analysis</w:t>
      </w:r>
    </w:p>
    <w:p>
      <w:pPr>
        <w:numPr>
          <w:ilvl w:val="1"/>
          <w:numId w:val="900"/>
        </w:numPr>
        <w:spacing w:before="0" w:after="0"/>
      </w:pPr>
      <w:r>
        <w:t>Internal Users</w:t>
      </w:r>
    </w:p>
    <w:p>
      <w:pPr>
        <w:numPr>
          <w:ilvl w:val="2"/>
          <w:numId w:val="900"/>
        </w:numPr>
        <w:spacing w:before="0" w:after="0"/>
      </w:pPr>
      <w:r>
        <w:t>Management Teams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Employees and Labor Unions</w:t>
      </w:r>
    </w:p>
    <w:p>
      <w:pPr>
        <w:numPr>
          <w:ilvl w:val="1"/>
          <w:numId w:val="900"/>
        </w:numPr>
        <w:spacing w:before="0" w:after="0"/>
      </w:pPr>
      <w:r>
        <w:t>External Users</w:t>
      </w:r>
    </w:p>
    <w:p>
      <w:pPr>
        <w:numPr>
          <w:ilvl w:val="2"/>
          <w:numId w:val="900"/>
        </w:numPr>
        <w:spacing w:before="0" w:after="0"/>
      </w:pPr>
      <w:r>
        <w:t>Equity Investors</w:t>
      </w:r>
    </w:p>
    <w:p>
      <w:pPr>
        <w:numPr>
          <w:ilvl w:val="2"/>
          <w:numId w:val="900"/>
        </w:numPr>
        <w:spacing w:before="0" w:after="0"/>
      </w:pPr>
      <w:r>
        <w:t>Debt Investors and Creditors</w:t>
      </w:r>
    </w:p>
    <w:p>
      <w:pPr>
        <w:numPr>
          <w:ilvl w:val="2"/>
          <w:numId w:val="900"/>
        </w:numPr>
        <w:spacing w:before="0" w:after="0"/>
      </w:pPr>
      <w:r>
        <w:t>Suppliers and Customers</w:t>
      </w:r>
    </w:p>
    <w:p>
      <w:pPr>
        <w:numPr>
          <w:ilvl w:val="2"/>
          <w:numId w:val="900"/>
        </w:numPr>
        <w:spacing w:before="0" w:after="0"/>
      </w:pPr>
      <w:r>
        <w:t>Regulatory Bodies</w:t>
      </w:r>
    </w:p>
    <w:p>
      <w:pPr>
        <w:numPr>
          <w:ilvl w:val="2"/>
          <w:numId w:val="900"/>
        </w:numPr>
        <w:spacing w:before="0" w:after="0"/>
      </w:pPr>
      <w:r>
        <w:t>Credit Rating Agencies</w:t>
      </w:r>
    </w:p>
    <w:p>
      <w:pPr>
        <w:numPr>
          <w:ilvl w:val="2"/>
          <w:numId w:val="900"/>
        </w:numPr>
        <w:spacing w:before="0" w:after="0"/>
      </w:pPr>
      <w:r>
        <w:t>Investment Analysts</w:t>
      </w:r>
    </w:p>
    <w:p>
      <w:pPr>
        <w:numPr>
          <w:ilvl w:val="2"/>
          <w:numId w:val="900"/>
        </w:numPr>
        <w:spacing w:before="0" w:after="0"/>
      </w:pPr>
      <w:r>
        <w:t>Competitors</w:t>
      </w:r>
    </w:p>
    <w:p>
      <w:pPr>
        <w:numPr>
          <w:ilvl w:val="0"/>
          <w:numId w:val="900"/>
        </w:numPr>
        <w:spacing w:before="0" w:after="0"/>
      </w:pPr>
      <w:r>
        <w:t>The Financial Analysis Process</w:t>
      </w:r>
    </w:p>
    <w:p>
      <w:pPr>
        <w:numPr>
          <w:ilvl w:val="1"/>
          <w:numId w:val="900"/>
        </w:numPr>
        <w:spacing w:before="0" w:after="0"/>
      </w:pPr>
      <w:r>
        <w:t>Defining Analysis Objectives</w:t>
      </w:r>
    </w:p>
    <w:p>
      <w:pPr>
        <w:numPr>
          <w:ilvl w:val="1"/>
          <w:numId w:val="900"/>
        </w:numPr>
        <w:spacing w:before="0" w:after="0"/>
      </w:pPr>
      <w:r>
        <w:t>Data Collection and Verification</w:t>
      </w:r>
    </w:p>
    <w:p>
      <w:pPr>
        <w:numPr>
          <w:ilvl w:val="1"/>
          <w:numId w:val="900"/>
        </w:numPr>
        <w:spacing w:before="0" w:after="0"/>
      </w:pPr>
      <w:r>
        <w:t>Selection of Analytical Methods</w:t>
      </w:r>
    </w:p>
    <w:p>
      <w:pPr>
        <w:numPr>
          <w:ilvl w:val="1"/>
          <w:numId w:val="900"/>
        </w:numPr>
        <w:spacing w:before="0" w:after="0"/>
      </w:pPr>
      <w:r>
        <w:t>Computation and Analysis</w:t>
      </w:r>
    </w:p>
    <w:p>
      <w:pPr>
        <w:numPr>
          <w:ilvl w:val="1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Report Preparation and Communication</w:t>
      </w:r>
    </w:p>
    <w:p>
      <w:pPr>
        <w:numPr>
          <w:ilvl w:val="0"/>
          <w:numId w:val="900"/>
        </w:numPr>
        <w:spacing w:before="0" w:after="0"/>
      </w:pPr>
      <w:r>
        <w:t>Limitations of Financial Analysis</w:t>
      </w:r>
    </w:p>
    <w:p>
      <w:pPr>
        <w:numPr>
          <w:ilvl w:val="1"/>
          <w:numId w:val="900"/>
        </w:numPr>
        <w:spacing w:before="0" w:after="0"/>
      </w:pPr>
      <w:r>
        <w:t>Historical Nature of Data</w:t>
      </w:r>
    </w:p>
    <w:p>
      <w:pPr>
        <w:numPr>
          <w:ilvl w:val="1"/>
          <w:numId w:val="900"/>
        </w:numPr>
        <w:spacing w:before="0" w:after="0"/>
      </w:pPr>
      <w:r>
        <w:t>Accounting Policy Variations</w:t>
      </w:r>
    </w:p>
    <w:p>
      <w:pPr>
        <w:numPr>
          <w:ilvl w:val="1"/>
          <w:numId w:val="900"/>
        </w:numPr>
        <w:spacing w:before="0" w:after="0"/>
      </w:pPr>
      <w:r>
        <w:t>Impact of Inflation</w:t>
      </w:r>
    </w:p>
    <w:p>
      <w:pPr>
        <w:numPr>
          <w:ilvl w:val="1"/>
          <w:numId w:val="900"/>
        </w:numPr>
        <w:spacing w:before="0" w:after="0"/>
      </w:pPr>
      <w:r>
        <w:t>Qualitative Factors</w:t>
      </w:r>
    </w:p>
    <w:p>
      <w:pPr>
        <w:numPr>
          <w:ilvl w:val="1"/>
          <w:numId w:val="900"/>
        </w:numPr>
        <w:spacing w:before="0" w:after="0"/>
      </w:pPr>
      <w:r>
        <w:t>Industry and Economic Context</w:t>
      </w:r>
    </w:p>
    <w:p>
      <w:pPr>
        <w:numPr>
          <w:ilvl w:val="0"/>
          <w:numId w:val="900"/>
        </w:numPr>
        <w:spacing w:before="0" w:after="0"/>
      </w:pPr>
      <w:r>
        <w:t>Professional Standards and Ethics</w:t>
      </w:r>
    </w:p>
    <w:p>
      <w:pPr>
        <w:numPr>
          <w:ilvl w:val="1"/>
          <w:numId w:val="900"/>
        </w:numPr>
        <w:spacing w:before="0" w:after="0"/>
      </w:pPr>
      <w:r>
        <w:t>Integrity and Objectivity</w:t>
      </w:r>
    </w:p>
    <w:p>
      <w:pPr>
        <w:numPr>
          <w:ilvl w:val="1"/>
          <w:numId w:val="900"/>
        </w:numPr>
        <w:spacing w:before="0" w:after="0"/>
      </w:pPr>
      <w:r>
        <w:t>Professional Competence</w:t>
      </w:r>
    </w:p>
    <w:p>
      <w:pPr>
        <w:numPr>
          <w:ilvl w:val="1"/>
          <w:numId w:val="900"/>
        </w:numPr>
        <w:spacing w:before="0" w:after="0"/>
      </w:pPr>
      <w:r>
        <w:t>Confidentiality Requirements</w:t>
      </w:r>
    </w:p>
    <w:p>
      <w:pPr>
        <w:numPr>
          <w:ilvl w:val="1"/>
          <w:numId w:val="900"/>
        </w:numPr>
        <w:spacing w:before="0" w:after="0"/>
      </w:pPr>
      <w:r>
        <w:t>Conflict of Interest Management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Financial Statements Fundamentals</w:t>
      </w:r>
    </w:p>
    <w:p>
      <w:pPr>
        <w:numPr>
          <w:ilvl w:val="0"/>
          <w:numId w:val="900"/>
        </w:numPr>
        <w:spacing w:before="0" w:after="0"/>
      </w:pPr>
      <w:r>
        <w:t>Overview of Financial Reporting</w:t>
      </w:r>
    </w:p>
    <w:p>
      <w:pPr>
        <w:numPr>
          <w:ilvl w:val="1"/>
          <w:numId w:val="900"/>
        </w:numPr>
        <w:spacing w:before="0" w:after="0"/>
      </w:pPr>
      <w:r>
        <w:t>Purpose of Financial Statements</w:t>
      </w:r>
    </w:p>
    <w:p>
      <w:pPr>
        <w:numPr>
          <w:ilvl w:val="1"/>
          <w:numId w:val="900"/>
        </w:numPr>
        <w:spacing w:before="0" w:after="0"/>
      </w:pPr>
      <w:r>
        <w:t>Primary Financial Statements</w:t>
      </w:r>
    </w:p>
    <w:p>
      <w:pPr>
        <w:numPr>
          <w:ilvl w:val="1"/>
          <w:numId w:val="900"/>
        </w:numPr>
        <w:spacing w:before="0" w:after="0"/>
      </w:pPr>
      <w:r>
        <w:t>Supplementary Information</w:t>
      </w:r>
    </w:p>
    <w:p>
      <w:pPr>
        <w:numPr>
          <w:ilvl w:val="1"/>
          <w:numId w:val="900"/>
        </w:numPr>
        <w:spacing w:before="0" w:after="0"/>
      </w:pPr>
      <w:r>
        <w:t>Reporting Periods and Frequency</w:t>
      </w:r>
    </w:p>
    <w:p>
      <w:pPr>
        <w:numPr>
          <w:ilvl w:val="0"/>
          <w:numId w:val="900"/>
        </w:numPr>
        <w:spacing w:before="0" w:after="0"/>
      </w:pPr>
      <w:r>
        <w:t>Accounting Frameworks</w:t>
      </w:r>
    </w:p>
    <w:p>
      <w:pPr>
        <w:numPr>
          <w:ilvl w:val="1"/>
          <w:numId w:val="900"/>
        </w:numPr>
        <w:spacing w:before="0" w:after="0"/>
      </w:pPr>
      <w:r>
        <w:t>Generally Accepted Accounting Principles (GAAP)</w:t>
      </w:r>
    </w:p>
    <w:p>
      <w:pPr>
        <w:numPr>
          <w:ilvl w:val="1"/>
          <w:numId w:val="900"/>
        </w:numPr>
        <w:spacing w:before="0" w:after="0"/>
      </w:pPr>
      <w:r>
        <w:t>International Financial Reporting Standards (IFRS)</w:t>
      </w:r>
    </w:p>
    <w:p>
      <w:pPr>
        <w:numPr>
          <w:ilvl w:val="1"/>
          <w:numId w:val="900"/>
        </w:numPr>
        <w:spacing w:before="0" w:after="0"/>
      </w:pPr>
      <w:r>
        <w:t>Key Differences Between GAAP and IFRS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Interrelationship of Financial Statements</w:t>
      </w:r>
    </w:p>
    <w:p>
      <w:pPr>
        <w:numPr>
          <w:ilvl w:val="1"/>
          <w:numId w:val="900"/>
        </w:numPr>
        <w:spacing w:before="0" w:after="0"/>
      </w:pPr>
      <w:r>
        <w:t>Flow of Information Between Statements</w:t>
      </w:r>
    </w:p>
    <w:p>
      <w:pPr>
        <w:numPr>
          <w:ilvl w:val="1"/>
          <w:numId w:val="900"/>
        </w:numPr>
        <w:spacing w:before="0" w:after="0"/>
      </w:pPr>
      <w:r>
        <w:t>Double-Entry Accounting Impact</w:t>
      </w:r>
    </w:p>
    <w:p>
      <w:pPr>
        <w:numPr>
          <w:ilvl w:val="1"/>
          <w:numId w:val="900"/>
        </w:numPr>
        <w:spacing w:before="0" w:after="0"/>
      </w:pPr>
      <w:r>
        <w:t>Timing Differences and Accruals</w:t>
      </w:r>
    </w:p>
    <w:p>
      <w:pPr>
        <w:numPr>
          <w:ilvl w:val="0"/>
          <w:numId w:val="900"/>
        </w:numPr>
        <w:spacing w:before="0" w:after="0"/>
      </w:pPr>
      <w:r>
        <w:t>The Balance Sheet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Current Assets</w:t>
      </w:r>
    </w:p>
    <w:p>
      <w:pPr>
        <w:numPr>
          <w:ilvl w:val="3"/>
          <w:numId w:val="900"/>
        </w:numPr>
        <w:spacing w:before="0" w:after="0"/>
      </w:pPr>
      <w:r>
        <w:t>Cash and Cash Equivalents</w:t>
      </w:r>
    </w:p>
    <w:p>
      <w:pPr>
        <w:numPr>
          <w:ilvl w:val="3"/>
          <w:numId w:val="900"/>
        </w:numPr>
        <w:spacing w:before="0" w:after="0"/>
      </w:pPr>
      <w:r>
        <w:t>Short-Term Investments</w:t>
      </w:r>
    </w:p>
    <w:p>
      <w:pPr>
        <w:numPr>
          <w:ilvl w:val="3"/>
          <w:numId w:val="900"/>
        </w:numPr>
        <w:spacing w:before="0" w:after="0"/>
      </w:pPr>
      <w:r>
        <w:t>Accounts Receivable</w:t>
      </w:r>
    </w:p>
    <w:p>
      <w:pPr>
        <w:numPr>
          <w:ilvl w:val="3"/>
          <w:numId w:val="900"/>
        </w:numPr>
        <w:spacing w:before="0" w:after="0"/>
      </w:pPr>
      <w:r>
        <w:t>Allowance for Doubtful Accounts</w:t>
      </w:r>
    </w:p>
    <w:p>
      <w:pPr>
        <w:numPr>
          <w:ilvl w:val="3"/>
          <w:numId w:val="900"/>
        </w:numPr>
        <w:spacing w:before="0" w:after="0"/>
      </w:pPr>
      <w:r>
        <w:t>Inventory</w:t>
      </w:r>
    </w:p>
    <w:p>
      <w:pPr>
        <w:numPr>
          <w:ilvl w:val="3"/>
          <w:numId w:val="900"/>
        </w:numPr>
        <w:spacing w:before="0" w:after="0"/>
      </w:pPr>
      <w:r>
        <w:t>Prepaid Expenses</w:t>
      </w:r>
    </w:p>
    <w:p>
      <w:pPr>
        <w:numPr>
          <w:ilvl w:val="3"/>
          <w:numId w:val="900"/>
        </w:numPr>
        <w:spacing w:before="0" w:after="0"/>
      </w:pPr>
      <w:r>
        <w:t>Other Current Assets</w:t>
      </w:r>
    </w:p>
    <w:p>
      <w:pPr>
        <w:numPr>
          <w:ilvl w:val="2"/>
          <w:numId w:val="900"/>
        </w:numPr>
        <w:spacing w:before="0" w:after="0"/>
      </w:pPr>
      <w:r>
        <w:t>Non-Current Assets</w:t>
      </w:r>
    </w:p>
    <w:p>
      <w:pPr>
        <w:numPr>
          <w:ilvl w:val="3"/>
          <w:numId w:val="900"/>
        </w:numPr>
        <w:spacing w:before="0" w:after="0"/>
      </w:pPr>
      <w:r>
        <w:t>Property, Plant, and Equipment</w:t>
      </w:r>
    </w:p>
    <w:p>
      <w:pPr>
        <w:numPr>
          <w:ilvl w:val="3"/>
          <w:numId w:val="900"/>
        </w:numPr>
        <w:spacing w:before="0" w:after="0"/>
      </w:pPr>
      <w:r>
        <w:t>Accumulated Depreciation</w:t>
      </w:r>
    </w:p>
    <w:p>
      <w:pPr>
        <w:numPr>
          <w:ilvl w:val="3"/>
          <w:numId w:val="900"/>
        </w:numPr>
        <w:spacing w:before="0" w:after="0"/>
      </w:pPr>
      <w:r>
        <w:t>Intangible Assets</w:t>
      </w:r>
    </w:p>
    <w:p>
      <w:pPr>
        <w:numPr>
          <w:ilvl w:val="3"/>
          <w:numId w:val="900"/>
        </w:numPr>
        <w:spacing w:before="0" w:after="0"/>
      </w:pPr>
      <w:r>
        <w:t>Goodwill</w:t>
      </w:r>
    </w:p>
    <w:p>
      <w:pPr>
        <w:numPr>
          <w:ilvl w:val="3"/>
          <w:numId w:val="900"/>
        </w:numPr>
        <w:spacing w:before="0" w:after="0"/>
      </w:pPr>
      <w:r>
        <w:t>Long-Term Investments</w:t>
      </w:r>
    </w:p>
    <w:p>
      <w:pPr>
        <w:numPr>
          <w:ilvl w:val="3"/>
          <w:numId w:val="900"/>
        </w:numPr>
        <w:spacing w:before="0" w:after="0"/>
      </w:pPr>
      <w:r>
        <w:t>Deferred Tax Assets</w:t>
      </w:r>
    </w:p>
    <w:p>
      <w:pPr>
        <w:numPr>
          <w:ilvl w:val="1"/>
          <w:numId w:val="900"/>
        </w:numPr>
        <w:spacing w:before="0" w:after="0"/>
      </w:pPr>
      <w:r>
        <w:t>Liabilities</w:t>
      </w:r>
    </w:p>
    <w:p>
      <w:pPr>
        <w:numPr>
          <w:ilvl w:val="2"/>
          <w:numId w:val="900"/>
        </w:numPr>
        <w:spacing w:before="0" w:after="0"/>
      </w:pPr>
      <w:r>
        <w:t>Current Liabilities</w:t>
      </w:r>
    </w:p>
    <w:p>
      <w:pPr>
        <w:numPr>
          <w:ilvl w:val="3"/>
          <w:numId w:val="900"/>
        </w:numPr>
        <w:spacing w:before="0" w:after="0"/>
      </w:pPr>
      <w:r>
        <w:t>Accounts Payable</w:t>
      </w:r>
    </w:p>
    <w:p>
      <w:pPr>
        <w:numPr>
          <w:ilvl w:val="3"/>
          <w:numId w:val="900"/>
        </w:numPr>
        <w:spacing w:before="0" w:after="0"/>
      </w:pPr>
      <w:r>
        <w:t>Short-Term Debt</w:t>
      </w:r>
    </w:p>
    <w:p>
      <w:pPr>
        <w:numPr>
          <w:ilvl w:val="3"/>
          <w:numId w:val="900"/>
        </w:numPr>
        <w:spacing w:before="0" w:after="0"/>
      </w:pPr>
      <w:r>
        <w:t>Accrued Liabilities</w:t>
      </w:r>
    </w:p>
    <w:p>
      <w:pPr>
        <w:numPr>
          <w:ilvl w:val="3"/>
          <w:numId w:val="900"/>
        </w:numPr>
        <w:spacing w:before="0" w:after="0"/>
      </w:pPr>
      <w:r>
        <w:t>Unearned Revenue</w:t>
      </w:r>
    </w:p>
    <w:p>
      <w:pPr>
        <w:numPr>
          <w:ilvl w:val="3"/>
          <w:numId w:val="900"/>
        </w:numPr>
        <w:spacing w:before="0" w:after="0"/>
      </w:pPr>
      <w:r>
        <w:t>Current Portion of Long-Term Debt</w:t>
      </w:r>
    </w:p>
    <w:p>
      <w:pPr>
        <w:numPr>
          <w:ilvl w:val="2"/>
          <w:numId w:val="900"/>
        </w:numPr>
        <w:spacing w:before="0" w:after="0"/>
      </w:pPr>
      <w:r>
        <w:t>Non-Current Liabilities</w:t>
      </w:r>
    </w:p>
    <w:p>
      <w:pPr>
        <w:numPr>
          <w:ilvl w:val="3"/>
          <w:numId w:val="900"/>
        </w:numPr>
        <w:spacing w:before="0" w:after="0"/>
      </w:pPr>
      <w:r>
        <w:t>Long-Term Debt</w:t>
      </w:r>
    </w:p>
    <w:p>
      <w:pPr>
        <w:numPr>
          <w:ilvl w:val="3"/>
          <w:numId w:val="900"/>
        </w:numPr>
        <w:spacing w:before="0" w:after="0"/>
      </w:pPr>
      <w:r>
        <w:t>Bonds Payable</w:t>
      </w:r>
    </w:p>
    <w:p>
      <w:pPr>
        <w:numPr>
          <w:ilvl w:val="3"/>
          <w:numId w:val="900"/>
        </w:numPr>
        <w:spacing w:before="0" w:after="0"/>
      </w:pPr>
      <w:r>
        <w:t>Lease Liabilities</w:t>
      </w:r>
    </w:p>
    <w:p>
      <w:pPr>
        <w:numPr>
          <w:ilvl w:val="3"/>
          <w:numId w:val="900"/>
        </w:numPr>
        <w:spacing w:before="0" w:after="0"/>
      </w:pPr>
      <w:r>
        <w:t>Deferred Tax Liabilities</w:t>
      </w:r>
    </w:p>
    <w:p>
      <w:pPr>
        <w:numPr>
          <w:ilvl w:val="3"/>
          <w:numId w:val="900"/>
        </w:numPr>
        <w:spacing w:before="0" w:after="0"/>
      </w:pPr>
      <w:r>
        <w:t>Pension Obligations</w:t>
      </w:r>
    </w:p>
    <w:p>
      <w:pPr>
        <w:numPr>
          <w:ilvl w:val="1"/>
          <w:numId w:val="900"/>
        </w:numPr>
        <w:spacing w:before="0" w:after="0"/>
      </w:pPr>
      <w:r>
        <w:t>Shareholders' Equity</w:t>
      </w:r>
    </w:p>
    <w:p>
      <w:pPr>
        <w:numPr>
          <w:ilvl w:val="2"/>
          <w:numId w:val="900"/>
        </w:numPr>
        <w:spacing w:before="0" w:after="0"/>
      </w:pPr>
      <w:r>
        <w:t>Share Capital</w:t>
      </w:r>
    </w:p>
    <w:p>
      <w:pPr>
        <w:numPr>
          <w:ilvl w:val="2"/>
          <w:numId w:val="900"/>
        </w:numPr>
        <w:spacing w:before="0" w:after="0"/>
      </w:pPr>
      <w:r>
        <w:t>Additional Paid-In Capital</w:t>
      </w:r>
    </w:p>
    <w:p>
      <w:pPr>
        <w:numPr>
          <w:ilvl w:val="2"/>
          <w:numId w:val="900"/>
        </w:numPr>
        <w:spacing w:before="0" w:after="0"/>
      </w:pPr>
      <w:r>
        <w:t>Retained Earnings</w:t>
      </w:r>
    </w:p>
    <w:p>
      <w:pPr>
        <w:numPr>
          <w:ilvl w:val="2"/>
          <w:numId w:val="900"/>
        </w:numPr>
        <w:spacing w:before="0" w:after="0"/>
      </w:pPr>
      <w:r>
        <w:t>Treasury Stock</w:t>
      </w:r>
    </w:p>
    <w:p>
      <w:pPr>
        <w:numPr>
          <w:ilvl w:val="2"/>
          <w:numId w:val="900"/>
        </w:numPr>
        <w:spacing w:before="0" w:after="0"/>
      </w:pPr>
      <w:r>
        <w:t>Accumulated Other Comprehensive Income</w:t>
      </w:r>
    </w:p>
    <w:p>
      <w:pPr>
        <w:numPr>
          <w:ilvl w:val="2"/>
          <w:numId w:val="900"/>
        </w:numPr>
        <w:spacing w:before="0" w:after="0"/>
      </w:pPr>
      <w:r>
        <w:t>Non-Controlling Interests</w:t>
      </w:r>
    </w:p>
    <w:p>
      <w:pPr>
        <w:numPr>
          <w:ilvl w:val="0"/>
          <w:numId w:val="900"/>
        </w:numPr>
        <w:spacing w:before="0" w:after="0"/>
      </w:pPr>
      <w:r>
        <w:t>The Income Statement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Revenue Recognition</w:t>
      </w:r>
    </w:p>
    <w:p>
      <w:pPr>
        <w:numPr>
          <w:ilvl w:val="2"/>
          <w:numId w:val="900"/>
        </w:numPr>
        <w:spacing w:before="0" w:after="0"/>
      </w:pPr>
      <w:r>
        <w:t>Revenue Recognition Principles</w:t>
      </w:r>
    </w:p>
    <w:p>
      <w:pPr>
        <w:numPr>
          <w:ilvl w:val="2"/>
          <w:numId w:val="900"/>
        </w:numPr>
        <w:spacing w:before="0" w:after="0"/>
      </w:pPr>
      <w:r>
        <w:t>Multiple Performance Obligations</w:t>
      </w:r>
    </w:p>
    <w:p>
      <w:pPr>
        <w:numPr>
          <w:ilvl w:val="2"/>
          <w:numId w:val="900"/>
        </w:numPr>
        <w:spacing w:before="0" w:after="0"/>
      </w:pPr>
      <w:r>
        <w:t>Contract Assets and Liabilities</w:t>
      </w:r>
    </w:p>
    <w:p>
      <w:pPr>
        <w:numPr>
          <w:ilvl w:val="1"/>
          <w:numId w:val="900"/>
        </w:numPr>
        <w:spacing w:before="0" w:after="0"/>
      </w:pPr>
      <w:r>
        <w:t>Cost of Goods Sold</w:t>
      </w:r>
    </w:p>
    <w:p>
      <w:pPr>
        <w:numPr>
          <w:ilvl w:val="2"/>
          <w:numId w:val="900"/>
        </w:numPr>
        <w:spacing w:before="0" w:after="0"/>
      </w:pPr>
      <w:r>
        <w:t>Direct Materials and Labor</w:t>
      </w:r>
    </w:p>
    <w:p>
      <w:pPr>
        <w:numPr>
          <w:ilvl w:val="2"/>
          <w:numId w:val="900"/>
        </w:numPr>
        <w:spacing w:before="0" w:after="0"/>
      </w:pPr>
      <w:r>
        <w:t>Manufacturing Overhead</w:t>
      </w:r>
    </w:p>
    <w:p>
      <w:pPr>
        <w:numPr>
          <w:ilvl w:val="2"/>
          <w:numId w:val="900"/>
        </w:numPr>
        <w:spacing w:before="0" w:after="0"/>
      </w:pPr>
      <w:r>
        <w:t>Inventory Costing Methods</w:t>
      </w:r>
    </w:p>
    <w:p>
      <w:pPr>
        <w:numPr>
          <w:ilvl w:val="1"/>
          <w:numId w:val="900"/>
        </w:numPr>
        <w:spacing w:before="0" w:after="0"/>
      </w:pPr>
      <w:r>
        <w:t>Gross Profit Analysis</w:t>
      </w:r>
    </w:p>
    <w:p>
      <w:pPr>
        <w:numPr>
          <w:ilvl w:val="1"/>
          <w:numId w:val="900"/>
        </w:numPr>
        <w:spacing w:before="0" w:after="0"/>
      </w:pPr>
      <w:r>
        <w:t>Operating Expenses</w:t>
      </w:r>
    </w:p>
    <w:p>
      <w:pPr>
        <w:numPr>
          <w:ilvl w:val="2"/>
          <w:numId w:val="900"/>
        </w:numPr>
        <w:spacing w:before="0" w:after="0"/>
      </w:pPr>
      <w:r>
        <w:t>Selling Expenses</w:t>
      </w:r>
    </w:p>
    <w:p>
      <w:pPr>
        <w:numPr>
          <w:ilvl w:val="2"/>
          <w:numId w:val="900"/>
        </w:numPr>
        <w:spacing w:before="0" w:after="0"/>
      </w:pPr>
      <w:r>
        <w:t>General and Administrative Expenses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Depreciation and Amortization</w:t>
      </w:r>
    </w:p>
    <w:p>
      <w:pPr>
        <w:numPr>
          <w:ilvl w:val="1"/>
          <w:numId w:val="900"/>
        </w:numPr>
        <w:spacing w:before="0" w:after="0"/>
      </w:pPr>
      <w:r>
        <w:t>Operating Income</w:t>
      </w:r>
    </w:p>
    <w:p>
      <w:pPr>
        <w:numPr>
          <w:ilvl w:val="1"/>
          <w:numId w:val="900"/>
        </w:numPr>
        <w:spacing w:before="0" w:after="0"/>
      </w:pPr>
      <w:r>
        <w:t>Non-Operating Items</w:t>
      </w:r>
    </w:p>
    <w:p>
      <w:pPr>
        <w:numPr>
          <w:ilvl w:val="2"/>
          <w:numId w:val="900"/>
        </w:numPr>
        <w:spacing w:before="0" w:after="0"/>
      </w:pPr>
      <w:r>
        <w:t>Interest Income and Expense</w:t>
      </w:r>
    </w:p>
    <w:p>
      <w:pPr>
        <w:numPr>
          <w:ilvl w:val="2"/>
          <w:numId w:val="900"/>
        </w:numPr>
        <w:spacing w:before="0" w:after="0"/>
      </w:pPr>
      <w:r>
        <w:t>Investment Gains and Losses</w:t>
      </w:r>
    </w:p>
    <w:p>
      <w:pPr>
        <w:numPr>
          <w:ilvl w:val="2"/>
          <w:numId w:val="900"/>
        </w:numPr>
        <w:spacing w:before="0" w:after="0"/>
      </w:pPr>
      <w:r>
        <w:t>Foreign Exchange Gains and Losses</w:t>
      </w:r>
    </w:p>
    <w:p>
      <w:pPr>
        <w:numPr>
          <w:ilvl w:val="2"/>
          <w:numId w:val="900"/>
        </w:numPr>
        <w:spacing w:before="0" w:after="0"/>
      </w:pPr>
      <w:r>
        <w:t>Other Income and Expenses</w:t>
      </w:r>
    </w:p>
    <w:p>
      <w:pPr>
        <w:numPr>
          <w:ilvl w:val="1"/>
          <w:numId w:val="900"/>
        </w:numPr>
        <w:spacing w:before="0" w:after="0"/>
      </w:pPr>
      <w:r>
        <w:t>Pre-Tax Income</w:t>
      </w:r>
    </w:p>
    <w:p>
      <w:pPr>
        <w:numPr>
          <w:ilvl w:val="1"/>
          <w:numId w:val="900"/>
        </w:numPr>
        <w:spacing w:before="0" w:after="0"/>
      </w:pPr>
      <w:r>
        <w:t>Income Tax Expense</w:t>
      </w:r>
    </w:p>
    <w:p>
      <w:pPr>
        <w:numPr>
          <w:ilvl w:val="2"/>
          <w:numId w:val="900"/>
        </w:numPr>
        <w:spacing w:before="0" w:after="0"/>
      </w:pPr>
      <w:r>
        <w:t>Current Tax Provision</w:t>
      </w:r>
    </w:p>
    <w:p>
      <w:pPr>
        <w:numPr>
          <w:ilvl w:val="2"/>
          <w:numId w:val="900"/>
        </w:numPr>
        <w:spacing w:before="0" w:after="0"/>
      </w:pPr>
      <w:r>
        <w:t>Deferred Tax Provision</w:t>
      </w:r>
    </w:p>
    <w:p>
      <w:pPr>
        <w:numPr>
          <w:ilvl w:val="1"/>
          <w:numId w:val="900"/>
        </w:numPr>
        <w:spacing w:before="0" w:after="0"/>
      </w:pPr>
      <w:r>
        <w:t>Net Income</w:t>
      </w:r>
    </w:p>
    <w:p>
      <w:pPr>
        <w:numPr>
          <w:ilvl w:val="1"/>
          <w:numId w:val="900"/>
        </w:numPr>
        <w:spacing w:before="0" w:after="0"/>
      </w:pPr>
      <w:r>
        <w:t>Earnings Per Share</w:t>
      </w:r>
    </w:p>
    <w:p>
      <w:pPr>
        <w:numPr>
          <w:ilvl w:val="2"/>
          <w:numId w:val="900"/>
        </w:numPr>
        <w:spacing w:before="0" w:after="0"/>
      </w:pPr>
      <w:r>
        <w:t>Basic Earnings Per Share</w:t>
      </w:r>
    </w:p>
    <w:p>
      <w:pPr>
        <w:numPr>
          <w:ilvl w:val="2"/>
          <w:numId w:val="900"/>
        </w:numPr>
        <w:spacing w:before="0" w:after="0"/>
      </w:pPr>
      <w:r>
        <w:t>Diluted Earnings Per Share</w:t>
      </w:r>
    </w:p>
    <w:p>
      <w:pPr>
        <w:numPr>
          <w:ilvl w:val="2"/>
          <w:numId w:val="900"/>
        </w:numPr>
        <w:spacing w:before="0" w:after="0"/>
      </w:pPr>
      <w:r>
        <w:t>Weighted Average Shares Outstanding</w:t>
      </w:r>
    </w:p>
    <w:p>
      <w:pPr>
        <w:numPr>
          <w:ilvl w:val="0"/>
          <w:numId w:val="900"/>
        </w:numPr>
        <w:spacing w:before="0" w:after="0"/>
      </w:pPr>
      <w:r>
        <w:t>The Cash Flow Statement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1"/>
          <w:numId w:val="900"/>
        </w:numPr>
        <w:spacing w:before="0" w:after="0"/>
      </w:pPr>
      <w:r>
        <w:t>Operating Activities</w:t>
      </w:r>
    </w:p>
    <w:p>
      <w:pPr>
        <w:numPr>
          <w:ilvl w:val="2"/>
          <w:numId w:val="900"/>
        </w:numPr>
        <w:spacing w:before="0" w:after="0"/>
      </w:pPr>
      <w:r>
        <w:t>Direct Method</w:t>
      </w:r>
    </w:p>
    <w:p>
      <w:pPr>
        <w:numPr>
          <w:ilvl w:val="2"/>
          <w:numId w:val="900"/>
        </w:numPr>
        <w:spacing w:before="0" w:after="0"/>
      </w:pPr>
      <w:r>
        <w:t>Indirect Method</w:t>
      </w:r>
    </w:p>
    <w:p>
      <w:pPr>
        <w:numPr>
          <w:ilvl w:val="2"/>
          <w:numId w:val="900"/>
        </w:numPr>
        <w:spacing w:before="0" w:after="0"/>
      </w:pPr>
      <w:r>
        <w:t>Non-Cash Adjustments</w:t>
      </w:r>
    </w:p>
    <w:p>
      <w:pPr>
        <w:numPr>
          <w:ilvl w:val="2"/>
          <w:numId w:val="900"/>
        </w:numPr>
        <w:spacing w:before="0" w:after="0"/>
      </w:pPr>
      <w:r>
        <w:t>Working Capital Changes</w:t>
      </w:r>
    </w:p>
    <w:p>
      <w:pPr>
        <w:numPr>
          <w:ilvl w:val="1"/>
          <w:numId w:val="900"/>
        </w:numPr>
        <w:spacing w:before="0" w:after="0"/>
      </w:pPr>
      <w:r>
        <w:t>Investing Activities</w:t>
      </w:r>
    </w:p>
    <w:p>
      <w:pPr>
        <w:numPr>
          <w:ilvl w:val="2"/>
          <w:numId w:val="900"/>
        </w:numPr>
        <w:spacing w:before="0" w:after="0"/>
      </w:pPr>
      <w:r>
        <w:t>Capital Expenditures</w:t>
      </w:r>
    </w:p>
    <w:p>
      <w:pPr>
        <w:numPr>
          <w:ilvl w:val="2"/>
          <w:numId w:val="900"/>
        </w:numPr>
        <w:spacing w:before="0" w:after="0"/>
      </w:pPr>
      <w:r>
        <w:t>Asset Disposals</w:t>
      </w:r>
    </w:p>
    <w:p>
      <w:pPr>
        <w:numPr>
          <w:ilvl w:val="2"/>
          <w:numId w:val="900"/>
        </w:numPr>
        <w:spacing w:before="0" w:after="0"/>
      </w:pPr>
      <w:r>
        <w:t>Investment Purchases and Sales</w:t>
      </w:r>
    </w:p>
    <w:p>
      <w:pPr>
        <w:numPr>
          <w:ilvl w:val="2"/>
          <w:numId w:val="900"/>
        </w:numPr>
        <w:spacing w:before="0" w:after="0"/>
      </w:pPr>
      <w:r>
        <w:t>Business Acquisitions and Disposals</w:t>
      </w:r>
    </w:p>
    <w:p>
      <w:pPr>
        <w:numPr>
          <w:ilvl w:val="1"/>
          <w:numId w:val="900"/>
        </w:numPr>
        <w:spacing w:before="0" w:after="0"/>
      </w:pPr>
      <w:r>
        <w:t>Financing Activities</w:t>
      </w:r>
    </w:p>
    <w:p>
      <w:pPr>
        <w:numPr>
          <w:ilvl w:val="2"/>
          <w:numId w:val="900"/>
        </w:numPr>
        <w:spacing w:before="0" w:after="0"/>
      </w:pPr>
      <w:r>
        <w:t>Debt Issuance and Repayment</w:t>
      </w:r>
    </w:p>
    <w:p>
      <w:pPr>
        <w:numPr>
          <w:ilvl w:val="2"/>
          <w:numId w:val="900"/>
        </w:numPr>
        <w:spacing w:before="0" w:after="0"/>
      </w:pPr>
      <w:r>
        <w:t>Equity Issuance and Repurchase</w:t>
      </w:r>
    </w:p>
    <w:p>
      <w:pPr>
        <w:numPr>
          <w:ilvl w:val="2"/>
          <w:numId w:val="900"/>
        </w:numPr>
        <w:spacing w:before="0" w:after="0"/>
      </w:pPr>
      <w:r>
        <w:t>Dividend Payments</w:t>
      </w:r>
    </w:p>
    <w:p>
      <w:pPr>
        <w:numPr>
          <w:ilvl w:val="2"/>
          <w:numId w:val="900"/>
        </w:numPr>
        <w:spacing w:before="0" w:after="0"/>
      </w:pPr>
      <w:r>
        <w:t>Share Buybacks</w:t>
      </w:r>
    </w:p>
    <w:p>
      <w:pPr>
        <w:numPr>
          <w:ilvl w:val="1"/>
          <w:numId w:val="900"/>
        </w:numPr>
        <w:spacing w:before="0" w:after="0"/>
      </w:pPr>
      <w:r>
        <w:t>Net Change in Cash</w:t>
      </w:r>
    </w:p>
    <w:p>
      <w:pPr>
        <w:numPr>
          <w:ilvl w:val="1"/>
          <w:numId w:val="900"/>
        </w:numPr>
        <w:spacing w:before="0" w:after="0"/>
      </w:pPr>
      <w:r>
        <w:t>Free Cash Flow Concepts</w:t>
      </w:r>
    </w:p>
    <w:p>
      <w:pPr>
        <w:numPr>
          <w:ilvl w:val="2"/>
          <w:numId w:val="900"/>
        </w:numPr>
        <w:spacing w:before="0" w:after="0"/>
      </w:pPr>
      <w:r>
        <w:t>Free Cash Flow to Firm</w:t>
      </w:r>
    </w:p>
    <w:p>
      <w:pPr>
        <w:numPr>
          <w:ilvl w:val="2"/>
          <w:numId w:val="900"/>
        </w:numPr>
        <w:spacing w:before="0" w:after="0"/>
      </w:pPr>
      <w:r>
        <w:t>Free Cash Flow to Equity</w:t>
      </w:r>
    </w:p>
    <w:p>
      <w:pPr>
        <w:numPr>
          <w:ilvl w:val="2"/>
          <w:numId w:val="900"/>
        </w:numPr>
        <w:spacing w:before="0" w:after="0"/>
      </w:pPr>
      <w:r>
        <w:t>Unlevered Free Cash Flow</w:t>
      </w:r>
    </w:p>
    <w:p>
      <w:pPr>
        <w:numPr>
          <w:ilvl w:val="0"/>
          <w:numId w:val="900"/>
        </w:numPr>
        <w:spacing w:before="0" w:after="0"/>
      </w:pPr>
      <w:r>
        <w:t>Statement of Changes in Equity</w:t>
      </w:r>
    </w:p>
    <w:p>
      <w:pPr>
        <w:numPr>
          <w:ilvl w:val="1"/>
          <w:numId w:val="900"/>
        </w:numPr>
        <w:spacing w:before="0" w:after="0"/>
      </w:pPr>
      <w:r>
        <w:t>Components of Equity Changes</w:t>
      </w:r>
    </w:p>
    <w:p>
      <w:pPr>
        <w:numPr>
          <w:ilvl w:val="1"/>
          <w:numId w:val="900"/>
        </w:numPr>
        <w:spacing w:before="0" w:after="0"/>
      </w:pPr>
      <w:r>
        <w:t>Share Transactions</w:t>
      </w:r>
    </w:p>
    <w:p>
      <w:pPr>
        <w:numPr>
          <w:ilvl w:val="1"/>
          <w:numId w:val="900"/>
        </w:numPr>
        <w:spacing w:before="0" w:after="0"/>
      </w:pPr>
      <w:r>
        <w:t>Comprehensive Income Items</w:t>
      </w:r>
    </w:p>
    <w:p>
      <w:pPr>
        <w:numPr>
          <w:ilvl w:val="1"/>
          <w:numId w:val="900"/>
        </w:numPr>
        <w:spacing w:before="0" w:after="0"/>
      </w:pPr>
      <w:r>
        <w:t>Dividend Distributions</w:t>
      </w:r>
    </w:p>
    <w:p>
      <w:pPr>
        <w:numPr>
          <w:ilvl w:val="1"/>
          <w:numId w:val="900"/>
        </w:numPr>
        <w:spacing w:before="0" w:after="0"/>
      </w:pPr>
      <w:r>
        <w:t>Prior Period Adjustments</w:t>
      </w:r>
    </w:p>
    <w:p>
      <w:pPr>
        <w:numPr>
          <w:ilvl w:val="0"/>
          <w:numId w:val="900"/>
        </w:numPr>
        <w:spacing w:before="0" w:after="0"/>
      </w:pPr>
      <w:r>
        <w:t>Notes to Financial Statements</w:t>
      </w:r>
    </w:p>
    <w:p>
      <w:pPr>
        <w:numPr>
          <w:ilvl w:val="1"/>
          <w:numId w:val="900"/>
        </w:numPr>
        <w:spacing w:before="0" w:after="0"/>
      </w:pPr>
      <w:r>
        <w:t>Accounting Policies Summary</w:t>
      </w:r>
    </w:p>
    <w:p>
      <w:pPr>
        <w:numPr>
          <w:ilvl w:val="1"/>
          <w:numId w:val="900"/>
        </w:numPr>
        <w:spacing w:before="0" w:after="0"/>
      </w:pPr>
      <w:r>
        <w:t>Significant Estimates and Judgments</w:t>
      </w:r>
    </w:p>
    <w:p>
      <w:pPr>
        <w:numPr>
          <w:ilvl w:val="1"/>
          <w:numId w:val="900"/>
        </w:numPr>
        <w:spacing w:before="0" w:after="0"/>
      </w:pPr>
      <w:r>
        <w:t>Detailed Account Explanations</w:t>
      </w:r>
    </w:p>
    <w:p>
      <w:pPr>
        <w:numPr>
          <w:ilvl w:val="1"/>
          <w:numId w:val="900"/>
        </w:numPr>
        <w:spacing w:before="0" w:after="0"/>
      </w:pPr>
      <w:r>
        <w:t>Commitments and Contingencies</w:t>
      </w:r>
    </w:p>
    <w:p>
      <w:pPr>
        <w:numPr>
          <w:ilvl w:val="1"/>
          <w:numId w:val="900"/>
        </w:numPr>
        <w:spacing w:before="0" w:after="0"/>
      </w:pPr>
      <w:r>
        <w:t>Related Party Transactions</w:t>
      </w:r>
    </w:p>
    <w:p>
      <w:pPr>
        <w:numPr>
          <w:ilvl w:val="1"/>
          <w:numId w:val="900"/>
        </w:numPr>
        <w:spacing w:before="0" w:after="0"/>
      </w:pPr>
      <w:r>
        <w:t>Subsequent Events</w:t>
      </w:r>
    </w:p>
    <w:p>
      <w:pPr>
        <w:numPr>
          <w:ilvl w:val="1"/>
          <w:numId w:val="900"/>
        </w:numPr>
        <w:spacing w:before="0" w:after="0"/>
      </w:pPr>
      <w:r>
        <w:t>Segment Reporting</w:t>
      </w:r>
    </w:p>
    <w:p>
      <w:pPr>
        <w:numPr>
          <w:ilvl w:val="0"/>
          <w:numId w:val="900"/>
        </w:numPr>
        <w:spacing w:before="0" w:after="0"/>
      </w:pPr>
      <w:r>
        <w:t>Management Discussion and Analysis</w:t>
      </w:r>
    </w:p>
    <w:p>
      <w:pPr>
        <w:numPr>
          <w:ilvl w:val="1"/>
          <w:numId w:val="900"/>
        </w:numPr>
        <w:spacing w:before="0" w:after="0"/>
      </w:pPr>
      <w:r>
        <w:t>Business Overview</w:t>
      </w:r>
    </w:p>
    <w:p>
      <w:pPr>
        <w:numPr>
          <w:ilvl w:val="1"/>
          <w:numId w:val="900"/>
        </w:numPr>
        <w:spacing w:before="0" w:after="0"/>
      </w:pPr>
      <w:r>
        <w:t>Financial Results Discussion</w:t>
      </w:r>
    </w:p>
    <w:p>
      <w:pPr>
        <w:numPr>
          <w:ilvl w:val="1"/>
          <w:numId w:val="900"/>
        </w:numPr>
        <w:spacing w:before="0" w:after="0"/>
      </w:pPr>
      <w:r>
        <w:t>Liquidity and Capital Resources</w:t>
      </w:r>
    </w:p>
    <w:p>
      <w:pPr>
        <w:numPr>
          <w:ilvl w:val="1"/>
          <w:numId w:val="900"/>
        </w:numPr>
        <w:spacing w:before="0" w:after="0"/>
      </w:pPr>
      <w:r>
        <w:t>Market Risk Disclosures</w:t>
      </w:r>
    </w:p>
    <w:p>
      <w:pPr>
        <w:numPr>
          <w:ilvl w:val="1"/>
          <w:numId w:val="900"/>
        </w:numPr>
        <w:spacing w:before="0" w:after="0"/>
      </w:pPr>
      <w:r>
        <w:t>Critical Accounting Estimates</w:t>
      </w:r>
    </w:p>
    <w:p>
      <w:pPr>
        <w:numPr>
          <w:ilvl w:val="1"/>
          <w:numId w:val="900"/>
        </w:numPr>
        <w:spacing w:before="0" w:after="0"/>
      </w:pPr>
      <w:r>
        <w:t>Forward-Looking Information</w:t>
      </w:r>
    </w:p>
    <w:p>
      <w:pPr>
        <w:pStyle w:val="Heading1"/>
      </w:pPr>
      <w:r>
        <w:t>Financial Ratio Analysis</w:t>
      </w:r>
    </w:p>
    <w:p>
      <w:pPr>
        <w:numPr>
          <w:ilvl w:val="0"/>
          <w:numId w:val="900"/>
        </w:numPr>
        <w:spacing w:before="0" w:after="0"/>
      </w:pPr>
      <w:r>
        <w:t>Introduction to Ratio Analysis</w:t>
      </w:r>
    </w:p>
    <w:p>
      <w:pPr>
        <w:numPr>
          <w:ilvl w:val="1"/>
          <w:numId w:val="900"/>
        </w:numPr>
        <w:spacing w:before="0" w:after="0"/>
      </w:pPr>
      <w:r>
        <w:t>Purpose of Financial Ratios</w:t>
      </w:r>
    </w:p>
    <w:p>
      <w:pPr>
        <w:numPr>
          <w:ilvl w:val="1"/>
          <w:numId w:val="900"/>
        </w:numPr>
        <w:spacing w:before="0" w:after="0"/>
      </w:pPr>
      <w:r>
        <w:t>Categories of Financial Ratios</w:t>
      </w:r>
    </w:p>
    <w:p>
      <w:pPr>
        <w:numPr>
          <w:ilvl w:val="1"/>
          <w:numId w:val="900"/>
        </w:numPr>
        <w:spacing w:before="0" w:after="0"/>
      </w:pPr>
      <w:r>
        <w:t>Limitations of Ratio Analysis</w:t>
      </w:r>
    </w:p>
    <w:p>
      <w:pPr>
        <w:numPr>
          <w:ilvl w:val="1"/>
          <w:numId w:val="900"/>
        </w:numPr>
        <w:spacing w:before="0" w:after="0"/>
      </w:pPr>
      <w:r>
        <w:t>Ratio Interpretation Guidelines</w:t>
      </w:r>
    </w:p>
    <w:p>
      <w:pPr>
        <w:numPr>
          <w:ilvl w:val="0"/>
          <w:numId w:val="900"/>
        </w:numPr>
        <w:spacing w:before="0" w:after="0"/>
      </w:pPr>
      <w:r>
        <w:t>Liquidity Ratios</w:t>
      </w:r>
    </w:p>
    <w:p>
      <w:pPr>
        <w:numPr>
          <w:ilvl w:val="1"/>
          <w:numId w:val="900"/>
        </w:numPr>
        <w:spacing w:before="0" w:after="0"/>
      </w:pPr>
      <w:r>
        <w:t>Current Ratio</w:t>
      </w:r>
    </w:p>
    <w:p>
      <w:pPr>
        <w:numPr>
          <w:ilvl w:val="1"/>
          <w:numId w:val="900"/>
        </w:numPr>
        <w:spacing w:before="0" w:after="0"/>
      </w:pPr>
      <w:r>
        <w:t>Quick Ratio</w:t>
      </w:r>
    </w:p>
    <w:p>
      <w:pPr>
        <w:numPr>
          <w:ilvl w:val="1"/>
          <w:numId w:val="900"/>
        </w:numPr>
        <w:spacing w:before="0" w:after="0"/>
      </w:pPr>
      <w:r>
        <w:t>Cash Ratio</w:t>
      </w:r>
    </w:p>
    <w:p>
      <w:pPr>
        <w:numPr>
          <w:ilvl w:val="1"/>
          <w:numId w:val="900"/>
        </w:numPr>
        <w:spacing w:before="0" w:after="0"/>
      </w:pPr>
      <w:r>
        <w:t>Operating Cash Flow Ratio</w:t>
      </w:r>
    </w:p>
    <w:p>
      <w:pPr>
        <w:numPr>
          <w:ilvl w:val="1"/>
          <w:numId w:val="900"/>
        </w:numPr>
        <w:spacing w:before="0" w:after="0"/>
      </w:pPr>
      <w:r>
        <w:t>Defensive Interval Ratio</w:t>
      </w:r>
    </w:p>
    <w:p>
      <w:pPr>
        <w:numPr>
          <w:ilvl w:val="1"/>
          <w:numId w:val="900"/>
        </w:numPr>
        <w:spacing w:before="0" w:after="0"/>
      </w:pPr>
      <w:r>
        <w:t>Working Capital Analysis</w:t>
      </w:r>
    </w:p>
    <w:p>
      <w:pPr>
        <w:numPr>
          <w:ilvl w:val="1"/>
          <w:numId w:val="900"/>
        </w:numPr>
        <w:spacing w:before="0" w:after="0"/>
      </w:pPr>
      <w:r>
        <w:t>Cash Conversion Cycle</w:t>
      </w:r>
    </w:p>
    <w:p>
      <w:pPr>
        <w:numPr>
          <w:ilvl w:val="2"/>
          <w:numId w:val="900"/>
        </w:numPr>
        <w:spacing w:before="0" w:after="0"/>
      </w:pPr>
      <w:r>
        <w:t>Days Sales Outstanding</w:t>
      </w:r>
    </w:p>
    <w:p>
      <w:pPr>
        <w:numPr>
          <w:ilvl w:val="2"/>
          <w:numId w:val="900"/>
        </w:numPr>
        <w:spacing w:before="0" w:after="0"/>
      </w:pPr>
      <w:r>
        <w:t>Days Inventory Outstanding</w:t>
      </w:r>
    </w:p>
    <w:p>
      <w:pPr>
        <w:numPr>
          <w:ilvl w:val="2"/>
          <w:numId w:val="900"/>
        </w:numPr>
        <w:spacing w:before="0" w:after="0"/>
      </w:pPr>
      <w:r>
        <w:t>Days Payable Outstanding</w:t>
      </w:r>
    </w:p>
    <w:p>
      <w:pPr>
        <w:numPr>
          <w:ilvl w:val="0"/>
          <w:numId w:val="900"/>
        </w:numPr>
        <w:spacing w:before="0" w:after="0"/>
      </w:pPr>
      <w:r>
        <w:t>Leverage and Solvency Ratios</w:t>
      </w:r>
    </w:p>
    <w:p>
      <w:pPr>
        <w:numPr>
          <w:ilvl w:val="1"/>
          <w:numId w:val="900"/>
        </w:numPr>
        <w:spacing w:before="0" w:after="0"/>
      </w:pPr>
      <w:r>
        <w:t>Debt-to-Assets Ratio</w:t>
      </w:r>
    </w:p>
    <w:p>
      <w:pPr>
        <w:numPr>
          <w:ilvl w:val="1"/>
          <w:numId w:val="900"/>
        </w:numPr>
        <w:spacing w:before="0" w:after="0"/>
      </w:pPr>
      <w:r>
        <w:t>Debt-to-Equity Ratio</w:t>
      </w:r>
    </w:p>
    <w:p>
      <w:pPr>
        <w:numPr>
          <w:ilvl w:val="1"/>
          <w:numId w:val="900"/>
        </w:numPr>
        <w:spacing w:before="0" w:after="0"/>
      </w:pPr>
      <w:r>
        <w:t>Debt-to-Capital Ratio</w:t>
      </w:r>
    </w:p>
    <w:p>
      <w:pPr>
        <w:numPr>
          <w:ilvl w:val="1"/>
          <w:numId w:val="900"/>
        </w:numPr>
        <w:spacing w:before="0" w:after="0"/>
      </w:pPr>
      <w:r>
        <w:t>Financial Leverage Multiplier</w:t>
      </w:r>
    </w:p>
    <w:p>
      <w:pPr>
        <w:numPr>
          <w:ilvl w:val="1"/>
          <w:numId w:val="900"/>
        </w:numPr>
        <w:spacing w:before="0" w:after="0"/>
      </w:pPr>
      <w:r>
        <w:t>Interest Coverage Ratio</w:t>
      </w:r>
    </w:p>
    <w:p>
      <w:pPr>
        <w:numPr>
          <w:ilvl w:val="1"/>
          <w:numId w:val="900"/>
        </w:numPr>
        <w:spacing w:before="0" w:after="0"/>
      </w:pPr>
      <w:r>
        <w:t>EBITDA Coverage Ratio</w:t>
      </w:r>
    </w:p>
    <w:p>
      <w:pPr>
        <w:numPr>
          <w:ilvl w:val="1"/>
          <w:numId w:val="900"/>
        </w:numPr>
        <w:spacing w:before="0" w:after="0"/>
      </w:pPr>
      <w:r>
        <w:t>Debt Service Coverage Ratio</w:t>
      </w:r>
    </w:p>
    <w:p>
      <w:pPr>
        <w:numPr>
          <w:ilvl w:val="1"/>
          <w:numId w:val="900"/>
        </w:numPr>
        <w:spacing w:before="0" w:after="0"/>
      </w:pPr>
      <w:r>
        <w:t>Fixed Charge Coverage Ratio</w:t>
      </w:r>
    </w:p>
    <w:p>
      <w:pPr>
        <w:numPr>
          <w:ilvl w:val="0"/>
          <w:numId w:val="900"/>
        </w:numPr>
        <w:spacing w:before="0" w:after="0"/>
      </w:pPr>
      <w:r>
        <w:t>Profitability Ratios</w:t>
      </w:r>
    </w:p>
    <w:p>
      <w:pPr>
        <w:numPr>
          <w:ilvl w:val="1"/>
          <w:numId w:val="900"/>
        </w:numPr>
        <w:spacing w:before="0" w:after="0"/>
      </w:pPr>
      <w:r>
        <w:t>Gross Profit Margin</w:t>
      </w:r>
    </w:p>
    <w:p>
      <w:pPr>
        <w:numPr>
          <w:ilvl w:val="1"/>
          <w:numId w:val="900"/>
        </w:numPr>
        <w:spacing w:before="0" w:after="0"/>
      </w:pPr>
      <w:r>
        <w:t>Operating Profit Margin</w:t>
      </w:r>
    </w:p>
    <w:p>
      <w:pPr>
        <w:numPr>
          <w:ilvl w:val="1"/>
          <w:numId w:val="900"/>
        </w:numPr>
        <w:spacing w:before="0" w:after="0"/>
      </w:pPr>
      <w:r>
        <w:t>Net Profit Margin</w:t>
      </w:r>
    </w:p>
    <w:p>
      <w:pPr>
        <w:numPr>
          <w:ilvl w:val="1"/>
          <w:numId w:val="900"/>
        </w:numPr>
        <w:spacing w:before="0" w:after="0"/>
      </w:pPr>
      <w:r>
        <w:t>EBITDA Margin</w:t>
      </w:r>
    </w:p>
    <w:p>
      <w:pPr>
        <w:numPr>
          <w:ilvl w:val="1"/>
          <w:numId w:val="900"/>
        </w:numPr>
        <w:spacing w:before="0" w:after="0"/>
      </w:pPr>
      <w:r>
        <w:t>Return on Assets</w:t>
      </w:r>
    </w:p>
    <w:p>
      <w:pPr>
        <w:numPr>
          <w:ilvl w:val="1"/>
          <w:numId w:val="900"/>
        </w:numPr>
        <w:spacing w:before="0" w:after="0"/>
      </w:pPr>
      <w:r>
        <w:t>Return on Equity</w:t>
      </w:r>
    </w:p>
    <w:p>
      <w:pPr>
        <w:numPr>
          <w:ilvl w:val="1"/>
          <w:numId w:val="900"/>
        </w:numPr>
        <w:spacing w:before="0" w:after="0"/>
      </w:pPr>
      <w:r>
        <w:t>Return on Invested Capital</w:t>
      </w:r>
    </w:p>
    <w:p>
      <w:pPr>
        <w:numPr>
          <w:ilvl w:val="1"/>
          <w:numId w:val="900"/>
        </w:numPr>
        <w:spacing w:before="0" w:after="0"/>
      </w:pPr>
      <w:r>
        <w:t>Return on Sales</w:t>
      </w:r>
    </w:p>
    <w:p>
      <w:pPr>
        <w:numPr>
          <w:ilvl w:val="0"/>
          <w:numId w:val="900"/>
        </w:numPr>
        <w:spacing w:before="0" w:after="0"/>
      </w:pPr>
      <w:r>
        <w:t>Activity and Efficiency Ratios</w:t>
      </w:r>
    </w:p>
    <w:p>
      <w:pPr>
        <w:numPr>
          <w:ilvl w:val="1"/>
          <w:numId w:val="900"/>
        </w:numPr>
        <w:spacing w:before="0" w:after="0"/>
      </w:pPr>
      <w:r>
        <w:t>Asset Turnover Ratio</w:t>
      </w:r>
    </w:p>
    <w:p>
      <w:pPr>
        <w:numPr>
          <w:ilvl w:val="1"/>
          <w:numId w:val="900"/>
        </w:numPr>
        <w:spacing w:before="0" w:after="0"/>
      </w:pPr>
      <w:r>
        <w:t>Fixed Asset Turnover</w:t>
      </w:r>
    </w:p>
    <w:p>
      <w:pPr>
        <w:numPr>
          <w:ilvl w:val="1"/>
          <w:numId w:val="900"/>
        </w:numPr>
        <w:spacing w:before="0" w:after="0"/>
      </w:pPr>
      <w:r>
        <w:t>Inventory Turnover</w:t>
      </w:r>
    </w:p>
    <w:p>
      <w:pPr>
        <w:numPr>
          <w:ilvl w:val="1"/>
          <w:numId w:val="900"/>
        </w:numPr>
        <w:spacing w:before="0" w:after="0"/>
      </w:pPr>
      <w:r>
        <w:t>Receivables Turnover</w:t>
      </w:r>
    </w:p>
    <w:p>
      <w:pPr>
        <w:numPr>
          <w:ilvl w:val="1"/>
          <w:numId w:val="900"/>
        </w:numPr>
        <w:spacing w:before="0" w:after="0"/>
      </w:pPr>
      <w:r>
        <w:t>Payables Turnover</w:t>
      </w:r>
    </w:p>
    <w:p>
      <w:pPr>
        <w:numPr>
          <w:ilvl w:val="1"/>
          <w:numId w:val="900"/>
        </w:numPr>
        <w:spacing w:before="0" w:after="0"/>
      </w:pPr>
      <w:r>
        <w:t>Working Capital Turnover</w:t>
      </w:r>
    </w:p>
    <w:p>
      <w:pPr>
        <w:numPr>
          <w:ilvl w:val="1"/>
          <w:numId w:val="900"/>
        </w:numPr>
        <w:spacing w:before="0" w:after="0"/>
      </w:pPr>
      <w:r>
        <w:t>Total Capital Turnover</w:t>
      </w:r>
    </w:p>
    <w:p>
      <w:pPr>
        <w:numPr>
          <w:ilvl w:val="0"/>
          <w:numId w:val="900"/>
        </w:numPr>
        <w:spacing w:before="0" w:after="0"/>
      </w:pPr>
      <w:r>
        <w:t>Market Value Ratios</w:t>
      </w:r>
    </w:p>
    <w:p>
      <w:pPr>
        <w:numPr>
          <w:ilvl w:val="1"/>
          <w:numId w:val="900"/>
        </w:numPr>
        <w:spacing w:before="0" w:after="0"/>
      </w:pPr>
      <w:r>
        <w:t>Price-to-Earnings Ratio</w:t>
      </w:r>
    </w:p>
    <w:p>
      <w:pPr>
        <w:numPr>
          <w:ilvl w:val="1"/>
          <w:numId w:val="900"/>
        </w:numPr>
        <w:spacing w:before="0" w:after="0"/>
      </w:pPr>
      <w:r>
        <w:t>Price-to-Book Ratio</w:t>
      </w:r>
    </w:p>
    <w:p>
      <w:pPr>
        <w:numPr>
          <w:ilvl w:val="1"/>
          <w:numId w:val="900"/>
        </w:numPr>
        <w:spacing w:before="0" w:after="0"/>
      </w:pPr>
      <w:r>
        <w:t>Price-to-Sales Ratio</w:t>
      </w:r>
    </w:p>
    <w:p>
      <w:pPr>
        <w:numPr>
          <w:ilvl w:val="1"/>
          <w:numId w:val="900"/>
        </w:numPr>
        <w:spacing w:before="0" w:after="0"/>
      </w:pPr>
      <w:r>
        <w:t>Price-to-Cash Flow Ratio</w:t>
      </w:r>
    </w:p>
    <w:p>
      <w:pPr>
        <w:numPr>
          <w:ilvl w:val="1"/>
          <w:numId w:val="900"/>
        </w:numPr>
        <w:spacing w:before="0" w:after="0"/>
      </w:pPr>
      <w:r>
        <w:t>Enterprise Value Ratios</w:t>
      </w:r>
    </w:p>
    <w:p>
      <w:pPr>
        <w:numPr>
          <w:ilvl w:val="2"/>
          <w:numId w:val="900"/>
        </w:numPr>
        <w:spacing w:before="0" w:after="0"/>
      </w:pPr>
      <w:r>
        <w:t>EV/EBITDA</w:t>
      </w:r>
    </w:p>
    <w:p>
      <w:pPr>
        <w:numPr>
          <w:ilvl w:val="2"/>
          <w:numId w:val="900"/>
        </w:numPr>
        <w:spacing w:before="0" w:after="0"/>
      </w:pPr>
      <w:r>
        <w:t>EV/Sales</w:t>
      </w:r>
    </w:p>
    <w:p>
      <w:pPr>
        <w:numPr>
          <w:ilvl w:val="2"/>
          <w:numId w:val="900"/>
        </w:numPr>
        <w:spacing w:before="0" w:after="0"/>
      </w:pPr>
      <w:r>
        <w:t>EV/EBIT</w:t>
      </w:r>
    </w:p>
    <w:p>
      <w:pPr>
        <w:numPr>
          <w:ilvl w:val="1"/>
          <w:numId w:val="900"/>
        </w:numPr>
        <w:spacing w:before="0" w:after="0"/>
      </w:pPr>
      <w:r>
        <w:t>Dividend Ratios</w:t>
      </w:r>
    </w:p>
    <w:p>
      <w:pPr>
        <w:numPr>
          <w:ilvl w:val="2"/>
          <w:numId w:val="900"/>
        </w:numPr>
        <w:spacing w:before="0" w:after="0"/>
      </w:pPr>
      <w:r>
        <w:t>Dividend Yield</w:t>
      </w:r>
    </w:p>
    <w:p>
      <w:pPr>
        <w:numPr>
          <w:ilvl w:val="2"/>
          <w:numId w:val="900"/>
        </w:numPr>
        <w:spacing w:before="0" w:after="0"/>
      </w:pPr>
      <w:r>
        <w:t>Dividend Payout Ratio</w:t>
      </w:r>
    </w:p>
    <w:p>
      <w:pPr>
        <w:numPr>
          <w:ilvl w:val="2"/>
          <w:numId w:val="900"/>
        </w:numPr>
        <w:spacing w:before="0" w:after="0"/>
      </w:pPr>
      <w:r>
        <w:t>Dividend Coverage Ratio</w:t>
      </w:r>
    </w:p>
    <w:p>
      <w:pPr>
        <w:numPr>
          <w:ilvl w:val="0"/>
          <w:numId w:val="900"/>
        </w:numPr>
        <w:spacing w:before="0" w:after="0"/>
      </w:pPr>
      <w:r>
        <w:t>Integrated Ratio Analysis</w:t>
      </w:r>
    </w:p>
    <w:p>
      <w:pPr>
        <w:numPr>
          <w:ilvl w:val="1"/>
          <w:numId w:val="900"/>
        </w:numPr>
        <w:spacing w:before="0" w:after="0"/>
      </w:pPr>
      <w:r>
        <w:t>DuPont Analysis Framework</w:t>
      </w:r>
    </w:p>
    <w:p>
      <w:pPr>
        <w:numPr>
          <w:ilvl w:val="2"/>
          <w:numId w:val="900"/>
        </w:numPr>
        <w:spacing w:before="0" w:after="0"/>
      </w:pPr>
      <w:r>
        <w:t>Three-Factor DuPont Model</w:t>
      </w:r>
    </w:p>
    <w:p>
      <w:pPr>
        <w:numPr>
          <w:ilvl w:val="2"/>
          <w:numId w:val="900"/>
        </w:numPr>
        <w:spacing w:before="0" w:after="0"/>
      </w:pPr>
      <w:r>
        <w:t>Five-Factor DuPont Model</w:t>
      </w:r>
    </w:p>
    <w:p>
      <w:pPr>
        <w:numPr>
          <w:ilvl w:val="2"/>
          <w:numId w:val="900"/>
        </w:numPr>
        <w:spacing w:before="0" w:after="0"/>
      </w:pPr>
      <w:r>
        <w:t>Extended DuPont Analysis</w:t>
      </w:r>
    </w:p>
    <w:p>
      <w:pPr>
        <w:numPr>
          <w:ilvl w:val="1"/>
          <w:numId w:val="900"/>
        </w:numPr>
        <w:spacing w:before="0" w:after="0"/>
      </w:pPr>
      <w:r>
        <w:t>Ratio Relationships and Trade-offs</w:t>
      </w:r>
    </w:p>
    <w:p>
      <w:pPr>
        <w:numPr>
          <w:ilvl w:val="1"/>
          <w:numId w:val="900"/>
        </w:numPr>
        <w:spacing w:before="0" w:after="0"/>
      </w:pPr>
      <w:r>
        <w:t>Industry-Specific Ratios</w:t>
      </w:r>
    </w:p>
    <w:p>
      <w:pPr>
        <w:pStyle w:val="Heading1"/>
      </w:pPr>
      <w:r>
        <w:t>Comparative and Trend Analysis</w:t>
      </w:r>
    </w:p>
    <w:p>
      <w:pPr>
        <w:numPr>
          <w:ilvl w:val="0"/>
          <w:numId w:val="900"/>
        </w:numPr>
        <w:spacing w:before="0" w:after="0"/>
      </w:pPr>
      <w:r>
        <w:t>Common-Size Financial Statements</w:t>
      </w:r>
    </w:p>
    <w:p>
      <w:pPr>
        <w:numPr>
          <w:ilvl w:val="1"/>
          <w:numId w:val="900"/>
        </w:numPr>
        <w:spacing w:before="0" w:after="0"/>
      </w:pPr>
      <w:r>
        <w:t>Vertical Analysis</w:t>
      </w:r>
    </w:p>
    <w:p>
      <w:pPr>
        <w:numPr>
          <w:ilvl w:val="2"/>
          <w:numId w:val="900"/>
        </w:numPr>
        <w:spacing w:before="0" w:after="0"/>
      </w:pPr>
      <w:r>
        <w:t>Common-Size Balance Sheet</w:t>
      </w:r>
    </w:p>
    <w:p>
      <w:pPr>
        <w:numPr>
          <w:ilvl w:val="2"/>
          <w:numId w:val="900"/>
        </w:numPr>
        <w:spacing w:before="0" w:after="0"/>
      </w:pPr>
      <w:r>
        <w:t>Common-Size Income Statement</w:t>
      </w:r>
    </w:p>
    <w:p>
      <w:pPr>
        <w:numPr>
          <w:ilvl w:val="2"/>
          <w:numId w:val="900"/>
        </w:numPr>
        <w:spacing w:before="0" w:after="0"/>
      </w:pPr>
      <w:r>
        <w:t>Common-Size Cash Flow Statement</w:t>
      </w:r>
    </w:p>
    <w:p>
      <w:pPr>
        <w:numPr>
          <w:ilvl w:val="1"/>
          <w:numId w:val="900"/>
        </w:numPr>
        <w:spacing w:before="0" w:after="0"/>
      </w:pPr>
      <w:r>
        <w:t>Benefits and Limitations</w:t>
      </w:r>
    </w:p>
    <w:p>
      <w:pPr>
        <w:numPr>
          <w:ilvl w:val="0"/>
          <w:numId w:val="900"/>
        </w:numPr>
        <w:spacing w:before="0" w:after="0"/>
      </w:pPr>
      <w:r>
        <w:t>Horizontal Analysis</w:t>
      </w:r>
    </w:p>
    <w:p>
      <w:pPr>
        <w:numPr>
          <w:ilvl w:val="1"/>
          <w:numId w:val="900"/>
        </w:numPr>
        <w:spacing w:before="0" w:after="0"/>
      </w:pPr>
      <w:r>
        <w:t>Year-over-Year Analysis</w:t>
      </w:r>
    </w:p>
    <w:p>
      <w:pPr>
        <w:numPr>
          <w:ilvl w:val="1"/>
          <w:numId w:val="900"/>
        </w:numPr>
        <w:spacing w:before="0" w:after="0"/>
      </w:pPr>
      <w:r>
        <w:t>Multi-Year Trend Analysis</w:t>
      </w:r>
    </w:p>
    <w:p>
      <w:pPr>
        <w:numPr>
          <w:ilvl w:val="1"/>
          <w:numId w:val="900"/>
        </w:numPr>
        <w:spacing w:before="0" w:after="0"/>
      </w:pPr>
      <w:r>
        <w:t>Growth Rate Calculations</w:t>
      </w:r>
    </w:p>
    <w:p>
      <w:pPr>
        <w:numPr>
          <w:ilvl w:val="1"/>
          <w:numId w:val="900"/>
        </w:numPr>
        <w:spacing w:before="0" w:after="0"/>
      </w:pPr>
      <w:r>
        <w:t>Compound Annual Growth Rate</w:t>
      </w:r>
    </w:p>
    <w:p>
      <w:pPr>
        <w:numPr>
          <w:ilvl w:val="1"/>
          <w:numId w:val="900"/>
        </w:numPr>
        <w:spacing w:before="0" w:after="0"/>
      </w:pPr>
      <w:r>
        <w:t>Base Year Selection</w:t>
      </w:r>
    </w:p>
    <w:p>
      <w:pPr>
        <w:numPr>
          <w:ilvl w:val="0"/>
          <w:numId w:val="900"/>
        </w:numPr>
        <w:spacing w:before="0" w:after="0"/>
      </w:pPr>
      <w:r>
        <w:t>Benchmarking Analysis</w:t>
      </w:r>
    </w:p>
    <w:p>
      <w:pPr>
        <w:numPr>
          <w:ilvl w:val="1"/>
          <w:numId w:val="900"/>
        </w:numPr>
        <w:spacing w:before="0" w:after="0"/>
      </w:pPr>
      <w:r>
        <w:t>Industry Comparison</w:t>
      </w:r>
    </w:p>
    <w:p>
      <w:pPr>
        <w:numPr>
          <w:ilvl w:val="2"/>
          <w:numId w:val="900"/>
        </w:numPr>
        <w:spacing w:before="0" w:after="0"/>
      </w:pPr>
      <w:r>
        <w:t>Industry Average Benchmarks</w:t>
      </w:r>
    </w:p>
    <w:p>
      <w:pPr>
        <w:numPr>
          <w:ilvl w:val="2"/>
          <w:numId w:val="900"/>
        </w:numPr>
        <w:spacing w:before="0" w:after="0"/>
      </w:pPr>
      <w:r>
        <w:t>Industry Quartile Analysis</w:t>
      </w:r>
    </w:p>
    <w:p>
      <w:pPr>
        <w:numPr>
          <w:ilvl w:val="2"/>
          <w:numId w:val="900"/>
        </w:numPr>
        <w:spacing w:before="0" w:after="0"/>
      </w:pPr>
      <w:r>
        <w:t>Industry Best Practices</w:t>
      </w:r>
    </w:p>
    <w:p>
      <w:pPr>
        <w:numPr>
          <w:ilvl w:val="1"/>
          <w:numId w:val="900"/>
        </w:numPr>
        <w:spacing w:before="0" w:after="0"/>
      </w:pPr>
      <w:r>
        <w:t>Peer Group Analysis</w:t>
      </w:r>
    </w:p>
    <w:p>
      <w:pPr>
        <w:numPr>
          <w:ilvl w:val="2"/>
          <w:numId w:val="900"/>
        </w:numPr>
        <w:spacing w:before="0" w:after="0"/>
      </w:pPr>
      <w:r>
        <w:t>Peer Selection Criteria</w:t>
      </w:r>
    </w:p>
    <w:p>
      <w:pPr>
        <w:numPr>
          <w:ilvl w:val="2"/>
          <w:numId w:val="900"/>
        </w:numPr>
        <w:spacing w:before="0" w:after="0"/>
      </w:pPr>
      <w:r>
        <w:t>Peer Group Construction</w:t>
      </w:r>
    </w:p>
    <w:p>
      <w:pPr>
        <w:numPr>
          <w:ilvl w:val="2"/>
          <w:numId w:val="900"/>
        </w:numPr>
        <w:spacing w:before="0" w:after="0"/>
      </w:pPr>
      <w:r>
        <w:t>Relative Performance Assessment</w:t>
      </w:r>
    </w:p>
    <w:p>
      <w:pPr>
        <w:numPr>
          <w:ilvl w:val="1"/>
          <w:numId w:val="900"/>
        </w:numPr>
        <w:spacing w:before="0" w:after="0"/>
      </w:pPr>
      <w:r>
        <w:t>Historical Performance Analysis</w:t>
      </w:r>
    </w:p>
    <w:p>
      <w:pPr>
        <w:numPr>
          <w:ilvl w:val="2"/>
          <w:numId w:val="900"/>
        </w:numPr>
        <w:spacing w:before="0" w:after="0"/>
      </w:pPr>
      <w:r>
        <w:t>Company's Historical Trends</w:t>
      </w:r>
    </w:p>
    <w:p>
      <w:pPr>
        <w:numPr>
          <w:ilvl w:val="2"/>
          <w:numId w:val="900"/>
        </w:numPr>
        <w:spacing w:before="0" w:after="0"/>
      </w:pPr>
      <w:r>
        <w:t>Cyclical Pattern Recognition</w:t>
      </w:r>
    </w:p>
    <w:p>
      <w:pPr>
        <w:numPr>
          <w:ilvl w:val="2"/>
          <w:numId w:val="900"/>
        </w:numPr>
        <w:spacing w:before="0" w:after="0"/>
      </w:pPr>
      <w:r>
        <w:t>Performance Consistency</w:t>
      </w:r>
    </w:p>
    <w:p>
      <w:pPr>
        <w:numPr>
          <w:ilvl w:val="0"/>
          <w:numId w:val="900"/>
        </w:numPr>
        <w:spacing w:before="0" w:after="0"/>
      </w:pPr>
      <w:r>
        <w:t>Cross-Sectional Analysis</w:t>
      </w:r>
    </w:p>
    <w:p>
      <w:pPr>
        <w:numPr>
          <w:ilvl w:val="1"/>
          <w:numId w:val="900"/>
        </w:numPr>
        <w:spacing w:before="0" w:after="0"/>
      </w:pPr>
      <w:r>
        <w:t>Multi-Company Comparison</w:t>
      </w:r>
    </w:p>
    <w:p>
      <w:pPr>
        <w:numPr>
          <w:ilvl w:val="1"/>
          <w:numId w:val="900"/>
        </w:numPr>
        <w:spacing w:before="0" w:after="0"/>
      </w:pPr>
      <w:r>
        <w:t>Market Position Assessment</w:t>
      </w:r>
    </w:p>
    <w:p>
      <w:pPr>
        <w:numPr>
          <w:ilvl w:val="1"/>
          <w:numId w:val="900"/>
        </w:numPr>
        <w:spacing w:before="0" w:after="0"/>
      </w:pPr>
      <w:r>
        <w:t>Competitive Advantage Identification</w:t>
      </w:r>
    </w:p>
    <w:p>
      <w:pPr>
        <w:pStyle w:val="Heading1"/>
      </w:pPr>
      <w:r>
        <w:t>Corporate Valuation</w:t>
      </w:r>
    </w:p>
    <w:p>
      <w:pPr>
        <w:numPr>
          <w:ilvl w:val="0"/>
          <w:numId w:val="900"/>
        </w:numPr>
        <w:spacing w:before="0" w:after="0"/>
      </w:pPr>
      <w:r>
        <w:t>Valuation Overview</w:t>
      </w:r>
    </w:p>
    <w:p>
      <w:pPr>
        <w:numPr>
          <w:ilvl w:val="1"/>
          <w:numId w:val="900"/>
        </w:numPr>
        <w:spacing w:before="0" w:after="0"/>
      </w:pPr>
      <w:r>
        <w:t>Valuation Purposes</w:t>
      </w:r>
    </w:p>
    <w:p>
      <w:pPr>
        <w:numPr>
          <w:ilvl w:val="1"/>
          <w:numId w:val="900"/>
        </w:numPr>
        <w:spacing w:before="0" w:after="0"/>
      </w:pPr>
      <w:r>
        <w:t>Valuation Approaches</w:t>
      </w:r>
    </w:p>
    <w:p>
      <w:pPr>
        <w:numPr>
          <w:ilvl w:val="1"/>
          <w:numId w:val="900"/>
        </w:numPr>
        <w:spacing w:before="0" w:after="0"/>
      </w:pPr>
      <w:r>
        <w:t>Value vs. Price Concepts</w:t>
      </w:r>
    </w:p>
    <w:p>
      <w:pPr>
        <w:numPr>
          <w:ilvl w:val="1"/>
          <w:numId w:val="900"/>
        </w:numPr>
        <w:spacing w:before="0" w:after="0"/>
      </w:pPr>
      <w:r>
        <w:t>Valuation Challenges</w:t>
      </w:r>
    </w:p>
    <w:p>
      <w:pPr>
        <w:numPr>
          <w:ilvl w:val="0"/>
          <w:numId w:val="900"/>
        </w:numPr>
        <w:spacing w:before="0" w:after="0"/>
      </w:pPr>
      <w:r>
        <w:t>Discounted Cash Flow Valuation</w:t>
      </w:r>
    </w:p>
    <w:p>
      <w:pPr>
        <w:numPr>
          <w:ilvl w:val="1"/>
          <w:numId w:val="900"/>
        </w:numPr>
        <w:spacing w:before="0" w:after="0"/>
      </w:pPr>
      <w:r>
        <w:t>DCF Model Framework</w:t>
      </w:r>
    </w:p>
    <w:p>
      <w:pPr>
        <w:numPr>
          <w:ilvl w:val="1"/>
          <w:numId w:val="900"/>
        </w:numPr>
        <w:spacing w:before="0" w:after="0"/>
      </w:pPr>
      <w:r>
        <w:t>Free Cash Flow Forecasting</w:t>
      </w:r>
    </w:p>
    <w:p>
      <w:pPr>
        <w:numPr>
          <w:ilvl w:val="2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Operating Expense Forecasting</w:t>
      </w:r>
    </w:p>
    <w:p>
      <w:pPr>
        <w:numPr>
          <w:ilvl w:val="2"/>
          <w:numId w:val="900"/>
        </w:numPr>
        <w:spacing w:before="0" w:after="0"/>
      </w:pPr>
      <w:r>
        <w:t>Capital Expenditure Planning</w:t>
      </w:r>
    </w:p>
    <w:p>
      <w:pPr>
        <w:numPr>
          <w:ilvl w:val="2"/>
          <w:numId w:val="900"/>
        </w:numPr>
        <w:spacing w:before="0" w:after="0"/>
      </w:pPr>
      <w:r>
        <w:t>Working Capital Requirements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Discount Rate Determination</w:t>
      </w:r>
    </w:p>
    <w:p>
      <w:pPr>
        <w:numPr>
          <w:ilvl w:val="2"/>
          <w:numId w:val="900"/>
        </w:numPr>
        <w:spacing w:before="0" w:after="0"/>
      </w:pPr>
      <w:r>
        <w:t>Weighted Average Cost of Capital</w:t>
      </w:r>
    </w:p>
    <w:p>
      <w:pPr>
        <w:numPr>
          <w:ilvl w:val="2"/>
          <w:numId w:val="900"/>
        </w:numPr>
        <w:spacing w:before="0" w:after="0"/>
      </w:pPr>
      <w:r>
        <w:t>Cost of Equity Estimation</w:t>
      </w:r>
    </w:p>
    <w:p>
      <w:pPr>
        <w:numPr>
          <w:ilvl w:val="3"/>
          <w:numId w:val="900"/>
        </w:numPr>
        <w:spacing w:before="0" w:after="0"/>
      </w:pPr>
      <w:r>
        <w:t>Capital Asset Pricing Model</w:t>
      </w:r>
    </w:p>
    <w:p>
      <w:pPr>
        <w:numPr>
          <w:ilvl w:val="3"/>
          <w:numId w:val="900"/>
        </w:numPr>
        <w:spacing w:before="0" w:after="0"/>
      </w:pPr>
      <w:r>
        <w:t>Risk-Free Rate Selection</w:t>
      </w:r>
    </w:p>
    <w:p>
      <w:pPr>
        <w:numPr>
          <w:ilvl w:val="3"/>
          <w:numId w:val="900"/>
        </w:numPr>
        <w:spacing w:before="0" w:after="0"/>
      </w:pPr>
      <w:r>
        <w:t>Beta Estimation</w:t>
      </w:r>
    </w:p>
    <w:p>
      <w:pPr>
        <w:numPr>
          <w:ilvl w:val="3"/>
          <w:numId w:val="900"/>
        </w:numPr>
        <w:spacing w:before="0" w:after="0"/>
      </w:pPr>
      <w:r>
        <w:t>Market Risk Premium</w:t>
      </w:r>
    </w:p>
    <w:p>
      <w:pPr>
        <w:numPr>
          <w:ilvl w:val="2"/>
          <w:numId w:val="900"/>
        </w:numPr>
        <w:spacing w:before="0" w:after="0"/>
      </w:pPr>
      <w:r>
        <w:t>Cost of Debt Calculation</w:t>
      </w:r>
    </w:p>
    <w:p>
      <w:pPr>
        <w:numPr>
          <w:ilvl w:val="2"/>
          <w:numId w:val="900"/>
        </w:numPr>
        <w:spacing w:before="0" w:after="0"/>
      </w:pPr>
      <w:r>
        <w:t>Optimal Capital Structure</w:t>
      </w:r>
    </w:p>
    <w:p>
      <w:pPr>
        <w:numPr>
          <w:ilvl w:val="1"/>
          <w:numId w:val="900"/>
        </w:numPr>
        <w:spacing w:before="0" w:after="0"/>
      </w:pPr>
      <w:r>
        <w:t>Terminal Value Calculation</w:t>
      </w:r>
    </w:p>
    <w:p>
      <w:pPr>
        <w:numPr>
          <w:ilvl w:val="2"/>
          <w:numId w:val="900"/>
        </w:numPr>
        <w:spacing w:before="0" w:after="0"/>
      </w:pPr>
      <w:r>
        <w:t>Perpetual Growth Method</w:t>
      </w:r>
    </w:p>
    <w:p>
      <w:pPr>
        <w:numPr>
          <w:ilvl w:val="2"/>
          <w:numId w:val="900"/>
        </w:numPr>
        <w:spacing w:before="0" w:after="0"/>
      </w:pPr>
      <w:r>
        <w:t>Exit Multiple Method</w:t>
      </w:r>
    </w:p>
    <w:p>
      <w:pPr>
        <w:numPr>
          <w:ilvl w:val="2"/>
          <w:numId w:val="900"/>
        </w:numPr>
        <w:spacing w:before="0" w:after="0"/>
      </w:pPr>
      <w:r>
        <w:t>Terminal Value Assumptions</w:t>
      </w:r>
    </w:p>
    <w:p>
      <w:pPr>
        <w:numPr>
          <w:ilvl w:val="1"/>
          <w:numId w:val="900"/>
        </w:numPr>
        <w:spacing w:before="0" w:after="0"/>
      </w:pPr>
      <w:r>
        <w:t>Enterprise and Equity Value</w:t>
      </w:r>
    </w:p>
    <w:p>
      <w:pPr>
        <w:numPr>
          <w:ilvl w:val="2"/>
          <w:numId w:val="900"/>
        </w:numPr>
        <w:spacing w:before="0" w:after="0"/>
      </w:pPr>
      <w:r>
        <w:t>Enterprise Value Calculation</w:t>
      </w:r>
    </w:p>
    <w:p>
      <w:pPr>
        <w:numPr>
          <w:ilvl w:val="2"/>
          <w:numId w:val="900"/>
        </w:numPr>
        <w:spacing w:before="0" w:after="0"/>
      </w:pPr>
      <w:r>
        <w:t>Net Debt Adjustments</w:t>
      </w:r>
    </w:p>
    <w:p>
      <w:pPr>
        <w:numPr>
          <w:ilvl w:val="2"/>
          <w:numId w:val="900"/>
        </w:numPr>
        <w:spacing w:before="0" w:after="0"/>
      </w:pPr>
      <w:r>
        <w:t>Equity Value Derivation</w:t>
      </w:r>
    </w:p>
    <w:p>
      <w:pPr>
        <w:numPr>
          <w:ilvl w:val="1"/>
          <w:numId w:val="900"/>
        </w:numPr>
        <w:spacing w:before="0" w:after="0"/>
      </w:pPr>
      <w:r>
        <w:t>DCF Model Sensitivity Analysis</w:t>
      </w:r>
    </w:p>
    <w:p>
      <w:pPr>
        <w:numPr>
          <w:ilvl w:val="0"/>
          <w:numId w:val="900"/>
        </w:numPr>
        <w:spacing w:before="0" w:after="0"/>
      </w:pPr>
      <w:r>
        <w:t>Relative Valuation Methods</w:t>
      </w:r>
    </w:p>
    <w:p>
      <w:pPr>
        <w:numPr>
          <w:ilvl w:val="1"/>
          <w:numId w:val="900"/>
        </w:numPr>
        <w:spacing w:before="0" w:after="0"/>
      </w:pPr>
      <w:r>
        <w:t>Comparable Company Analysis</w:t>
      </w:r>
    </w:p>
    <w:p>
      <w:pPr>
        <w:numPr>
          <w:ilvl w:val="2"/>
          <w:numId w:val="900"/>
        </w:numPr>
        <w:spacing w:before="0" w:after="0"/>
      </w:pPr>
      <w:r>
        <w:t>Peer Group Selection</w:t>
      </w:r>
    </w:p>
    <w:p>
      <w:pPr>
        <w:numPr>
          <w:ilvl w:val="2"/>
          <w:numId w:val="900"/>
        </w:numPr>
        <w:spacing w:before="0" w:after="0"/>
      </w:pPr>
      <w:r>
        <w:t>Trading Multiple Calculation</w:t>
      </w:r>
    </w:p>
    <w:p>
      <w:pPr>
        <w:numPr>
          <w:ilvl w:val="2"/>
          <w:numId w:val="900"/>
        </w:numPr>
        <w:spacing w:before="0" w:after="0"/>
      </w:pPr>
      <w:r>
        <w:t>Multiple Application</w:t>
      </w:r>
    </w:p>
    <w:p>
      <w:pPr>
        <w:numPr>
          <w:ilvl w:val="2"/>
          <w:numId w:val="900"/>
        </w:numPr>
        <w:spacing w:before="0" w:after="0"/>
      </w:pPr>
      <w:r>
        <w:t>Valuation Range Development</w:t>
      </w:r>
    </w:p>
    <w:p>
      <w:pPr>
        <w:numPr>
          <w:ilvl w:val="1"/>
          <w:numId w:val="900"/>
        </w:numPr>
        <w:spacing w:before="0" w:after="0"/>
      </w:pPr>
      <w:r>
        <w:t>Precedent Transaction Analysis</w:t>
      </w:r>
    </w:p>
    <w:p>
      <w:pPr>
        <w:numPr>
          <w:ilvl w:val="2"/>
          <w:numId w:val="900"/>
        </w:numPr>
        <w:spacing w:before="0" w:after="0"/>
      </w:pPr>
      <w:r>
        <w:t>Transaction Database Development</w:t>
      </w:r>
    </w:p>
    <w:p>
      <w:pPr>
        <w:numPr>
          <w:ilvl w:val="2"/>
          <w:numId w:val="900"/>
        </w:numPr>
        <w:spacing w:before="0" w:after="0"/>
      </w:pPr>
      <w:r>
        <w:t>Control Premium Analysis</w:t>
      </w:r>
    </w:p>
    <w:p>
      <w:pPr>
        <w:numPr>
          <w:ilvl w:val="2"/>
          <w:numId w:val="900"/>
        </w:numPr>
        <w:spacing w:before="0" w:after="0"/>
      </w:pPr>
      <w:r>
        <w:t>Transaction Multiple Application</w:t>
      </w:r>
    </w:p>
    <w:p>
      <w:pPr>
        <w:numPr>
          <w:ilvl w:val="1"/>
          <w:numId w:val="900"/>
        </w:numPr>
        <w:spacing w:before="0" w:after="0"/>
      </w:pPr>
      <w:r>
        <w:t>Valuation Multiple Categories</w:t>
      </w:r>
    </w:p>
    <w:p>
      <w:pPr>
        <w:numPr>
          <w:ilvl w:val="2"/>
          <w:numId w:val="900"/>
        </w:numPr>
        <w:spacing w:before="0" w:after="0"/>
      </w:pPr>
      <w:r>
        <w:t>Enterprise Value Multiples</w:t>
      </w:r>
    </w:p>
    <w:p>
      <w:pPr>
        <w:numPr>
          <w:ilvl w:val="2"/>
          <w:numId w:val="900"/>
        </w:numPr>
        <w:spacing w:before="0" w:after="0"/>
      </w:pPr>
      <w:r>
        <w:t>Equity Value Multiples</w:t>
      </w:r>
    </w:p>
    <w:p>
      <w:pPr>
        <w:numPr>
          <w:ilvl w:val="2"/>
          <w:numId w:val="900"/>
        </w:numPr>
        <w:spacing w:before="0" w:after="0"/>
      </w:pPr>
      <w:r>
        <w:t>Sector-Specific Multiples</w:t>
      </w:r>
    </w:p>
    <w:p>
      <w:pPr>
        <w:numPr>
          <w:ilvl w:val="0"/>
          <w:numId w:val="900"/>
        </w:numPr>
        <w:spacing w:before="0" w:after="0"/>
      </w:pPr>
      <w:r>
        <w:t>Asset-Based Valuation</w:t>
      </w:r>
    </w:p>
    <w:p>
      <w:pPr>
        <w:numPr>
          <w:ilvl w:val="1"/>
          <w:numId w:val="900"/>
        </w:numPr>
        <w:spacing w:before="0" w:after="0"/>
      </w:pPr>
      <w:r>
        <w:t>Book Value Methods</w:t>
      </w:r>
    </w:p>
    <w:p>
      <w:pPr>
        <w:numPr>
          <w:ilvl w:val="1"/>
          <w:numId w:val="900"/>
        </w:numPr>
        <w:spacing w:before="0" w:after="0"/>
      </w:pPr>
      <w:r>
        <w:t>Adjusted Book Value</w:t>
      </w:r>
    </w:p>
    <w:p>
      <w:pPr>
        <w:numPr>
          <w:ilvl w:val="1"/>
          <w:numId w:val="900"/>
        </w:numPr>
        <w:spacing w:before="0" w:after="0"/>
      </w:pPr>
      <w:r>
        <w:t>Liquidation Value Analysis</w:t>
      </w:r>
    </w:p>
    <w:p>
      <w:pPr>
        <w:numPr>
          <w:ilvl w:val="1"/>
          <w:numId w:val="900"/>
        </w:numPr>
        <w:spacing w:before="0" w:after="0"/>
      </w:pPr>
      <w:r>
        <w:t>Replacement Cost Method</w:t>
      </w:r>
    </w:p>
    <w:p>
      <w:pPr>
        <w:numPr>
          <w:ilvl w:val="1"/>
          <w:numId w:val="900"/>
        </w:numPr>
        <w:spacing w:before="0" w:after="0"/>
      </w:pPr>
      <w:r>
        <w:t>Sum-of-the-Parts Valuation</w:t>
      </w:r>
    </w:p>
    <w:p>
      <w:pPr>
        <w:pStyle w:val="Heading1"/>
      </w:pPr>
      <w:r>
        <w:t>Financial Forecasting and Modeling</w:t>
      </w:r>
    </w:p>
    <w:p>
      <w:pPr>
        <w:numPr>
          <w:ilvl w:val="0"/>
          <w:numId w:val="900"/>
        </w:numPr>
        <w:spacing w:before="0" w:after="0"/>
      </w:pPr>
      <w:r>
        <w:t>Financial Modeling Fundamentals</w:t>
      </w:r>
    </w:p>
    <w:p>
      <w:pPr>
        <w:numPr>
          <w:ilvl w:val="1"/>
          <w:numId w:val="900"/>
        </w:numPr>
        <w:spacing w:before="0" w:after="0"/>
      </w:pPr>
      <w:r>
        <w:t>Model Purpose and Structure</w:t>
      </w:r>
    </w:p>
    <w:p>
      <w:pPr>
        <w:numPr>
          <w:ilvl w:val="1"/>
          <w:numId w:val="900"/>
        </w:numPr>
        <w:spacing w:before="0" w:after="0"/>
      </w:pPr>
      <w:r>
        <w:t>Model Design Principles</w:t>
      </w:r>
    </w:p>
    <w:p>
      <w:pPr>
        <w:numPr>
          <w:ilvl w:val="1"/>
          <w:numId w:val="900"/>
        </w:numPr>
        <w:spacing w:before="0" w:after="0"/>
      </w:pPr>
      <w:r>
        <w:t>Best Practices in Model Building</w:t>
      </w:r>
    </w:p>
    <w:p>
      <w:pPr>
        <w:numPr>
          <w:ilvl w:val="1"/>
          <w:numId w:val="900"/>
        </w:numPr>
        <w:spacing w:before="0" w:after="0"/>
      </w:pPr>
      <w:r>
        <w:t>Model Documentation</w:t>
      </w:r>
    </w:p>
    <w:p>
      <w:pPr>
        <w:numPr>
          <w:ilvl w:val="0"/>
          <w:numId w:val="900"/>
        </w:numPr>
        <w:spacing w:before="0" w:after="0"/>
      </w:pPr>
      <w:r>
        <w:t>Building Integrated Financial Models</w:t>
      </w:r>
    </w:p>
    <w:p>
      <w:pPr>
        <w:numPr>
          <w:ilvl w:val="1"/>
          <w:numId w:val="900"/>
        </w:numPr>
        <w:spacing w:before="0" w:after="0"/>
      </w:pPr>
      <w:r>
        <w:t>Three-Statement Model Construction</w:t>
      </w:r>
    </w:p>
    <w:p>
      <w:pPr>
        <w:numPr>
          <w:ilvl w:val="1"/>
          <w:numId w:val="900"/>
        </w:numPr>
        <w:spacing w:before="0" w:after="0"/>
      </w:pPr>
      <w:r>
        <w:t>Linking Financial Statements</w:t>
      </w:r>
    </w:p>
    <w:p>
      <w:pPr>
        <w:numPr>
          <w:ilvl w:val="1"/>
          <w:numId w:val="900"/>
        </w:numPr>
        <w:spacing w:before="0" w:after="0"/>
      </w:pPr>
      <w:r>
        <w:t>Circular Reference Management</w:t>
      </w:r>
    </w:p>
    <w:p>
      <w:pPr>
        <w:numPr>
          <w:ilvl w:val="1"/>
          <w:numId w:val="900"/>
        </w:numPr>
        <w:spacing w:before="0" w:after="0"/>
      </w:pPr>
      <w:r>
        <w:t>Model Flow and Logic</w:t>
      </w:r>
    </w:p>
    <w:p>
      <w:pPr>
        <w:numPr>
          <w:ilvl w:val="0"/>
          <w:numId w:val="900"/>
        </w:numPr>
        <w:spacing w:before="0" w:after="0"/>
      </w:pPr>
      <w:r>
        <w:t>Revenue Forecasting</w:t>
      </w:r>
    </w:p>
    <w:p>
      <w:pPr>
        <w:numPr>
          <w:ilvl w:val="1"/>
          <w:numId w:val="900"/>
        </w:numPr>
        <w:spacing w:before="0" w:after="0"/>
      </w:pPr>
      <w:r>
        <w:t>Top-Down Approach</w:t>
      </w:r>
    </w:p>
    <w:p>
      <w:pPr>
        <w:numPr>
          <w:ilvl w:val="1"/>
          <w:numId w:val="900"/>
        </w:numPr>
        <w:spacing w:before="0" w:after="0"/>
      </w:pPr>
      <w:r>
        <w:t>Bottom-Up Approach</w:t>
      </w:r>
    </w:p>
    <w:p>
      <w:pPr>
        <w:numPr>
          <w:ilvl w:val="1"/>
          <w:numId w:val="900"/>
        </w:numPr>
        <w:spacing w:before="0" w:after="0"/>
      </w:pPr>
      <w:r>
        <w:t>Market-Based Forecasting</w:t>
      </w:r>
    </w:p>
    <w:p>
      <w:pPr>
        <w:numPr>
          <w:ilvl w:val="1"/>
          <w:numId w:val="900"/>
        </w:numPr>
        <w:spacing w:before="0" w:after="0"/>
      </w:pPr>
      <w:r>
        <w:t>Product-Based Forecasting</w:t>
      </w:r>
    </w:p>
    <w:p>
      <w:pPr>
        <w:numPr>
          <w:ilvl w:val="1"/>
          <w:numId w:val="900"/>
        </w:numPr>
        <w:spacing w:before="0" w:after="0"/>
      </w:pPr>
      <w:r>
        <w:t>Seasonality and Cyclicality</w:t>
      </w:r>
    </w:p>
    <w:p>
      <w:pPr>
        <w:numPr>
          <w:ilvl w:val="0"/>
          <w:numId w:val="900"/>
        </w:numPr>
        <w:spacing w:before="0" w:after="0"/>
      </w:pPr>
      <w:r>
        <w:t>Expense and Cost Forecasting</w:t>
      </w:r>
    </w:p>
    <w:p>
      <w:pPr>
        <w:numPr>
          <w:ilvl w:val="1"/>
          <w:numId w:val="900"/>
        </w:numPr>
        <w:spacing w:before="0" w:after="0"/>
      </w:pPr>
      <w:r>
        <w:t>Fixed vs. Variable Cost Analysis</w:t>
      </w:r>
    </w:p>
    <w:p>
      <w:pPr>
        <w:numPr>
          <w:ilvl w:val="1"/>
          <w:numId w:val="900"/>
        </w:numPr>
        <w:spacing w:before="0" w:after="0"/>
      </w:pPr>
      <w:r>
        <w:t>Cost Driver Identification</w:t>
      </w:r>
    </w:p>
    <w:p>
      <w:pPr>
        <w:numPr>
          <w:ilvl w:val="1"/>
          <w:numId w:val="900"/>
        </w:numPr>
        <w:spacing w:before="0" w:after="0"/>
      </w:pPr>
      <w:r>
        <w:t>Operating Leverage Impact</w:t>
      </w:r>
    </w:p>
    <w:p>
      <w:pPr>
        <w:numPr>
          <w:ilvl w:val="1"/>
          <w:numId w:val="900"/>
        </w:numPr>
        <w:spacing w:before="0" w:after="0"/>
      </w:pPr>
      <w:r>
        <w:t>Inflation Adjustments</w:t>
      </w:r>
    </w:p>
    <w:p>
      <w:pPr>
        <w:numPr>
          <w:ilvl w:val="0"/>
          <w:numId w:val="900"/>
        </w:numPr>
        <w:spacing w:before="0" w:after="0"/>
      </w:pPr>
      <w:r>
        <w:t>Balance Sheet Forecasting</w:t>
      </w:r>
    </w:p>
    <w:p>
      <w:pPr>
        <w:numPr>
          <w:ilvl w:val="1"/>
          <w:numId w:val="900"/>
        </w:numPr>
        <w:spacing w:before="0" w:after="0"/>
      </w:pPr>
      <w:r>
        <w:t>Working Capital Modeling</w:t>
      </w:r>
    </w:p>
    <w:p>
      <w:pPr>
        <w:numPr>
          <w:ilvl w:val="1"/>
          <w:numId w:val="900"/>
        </w:numPr>
        <w:spacing w:before="0" w:after="0"/>
      </w:pPr>
      <w:r>
        <w:t>Capital Asset Planning</w:t>
      </w:r>
    </w:p>
    <w:p>
      <w:pPr>
        <w:numPr>
          <w:ilvl w:val="1"/>
          <w:numId w:val="900"/>
        </w:numPr>
        <w:spacing w:before="0" w:after="0"/>
      </w:pPr>
      <w:r>
        <w:t>Debt and Equity Projections</w:t>
      </w:r>
    </w:p>
    <w:p>
      <w:pPr>
        <w:numPr>
          <w:ilvl w:val="1"/>
          <w:numId w:val="900"/>
        </w:numPr>
        <w:spacing w:before="0" w:after="0"/>
      </w:pPr>
      <w:r>
        <w:t>Balance Sheet Balancing</w:t>
      </w:r>
    </w:p>
    <w:p>
      <w:pPr>
        <w:numPr>
          <w:ilvl w:val="0"/>
          <w:numId w:val="900"/>
        </w:numPr>
        <w:spacing w:before="0" w:after="0"/>
      </w:pPr>
      <w:r>
        <w:t>Cash Flow Projections</w:t>
      </w:r>
    </w:p>
    <w:p>
      <w:pPr>
        <w:numPr>
          <w:ilvl w:val="1"/>
          <w:numId w:val="900"/>
        </w:numPr>
        <w:spacing w:before="0" w:after="0"/>
      </w:pPr>
      <w:r>
        <w:t>Operating Cash Flow Modeling</w:t>
      </w:r>
    </w:p>
    <w:p>
      <w:pPr>
        <w:numPr>
          <w:ilvl w:val="1"/>
          <w:numId w:val="900"/>
        </w:numPr>
        <w:spacing w:before="0" w:after="0"/>
      </w:pPr>
      <w:r>
        <w:t>Investment Cash Flow Planning</w:t>
      </w:r>
    </w:p>
    <w:p>
      <w:pPr>
        <w:numPr>
          <w:ilvl w:val="1"/>
          <w:numId w:val="900"/>
        </w:numPr>
        <w:spacing w:before="0" w:after="0"/>
      </w:pPr>
      <w:r>
        <w:t>Financing Cash Flow Projections</w:t>
      </w:r>
    </w:p>
    <w:p>
      <w:pPr>
        <w:numPr>
          <w:ilvl w:val="1"/>
          <w:numId w:val="900"/>
        </w:numPr>
        <w:spacing w:before="0" w:after="0"/>
      </w:pPr>
      <w:r>
        <w:t>Cash Management and Optimization</w:t>
      </w:r>
    </w:p>
    <w:p>
      <w:pPr>
        <w:numPr>
          <w:ilvl w:val="0"/>
          <w:numId w:val="900"/>
        </w:numPr>
        <w:spacing w:before="0" w:after="0"/>
      </w:pPr>
      <w:r>
        <w:t>Scenario and Sensitivity Analysis</w:t>
      </w:r>
    </w:p>
    <w:p>
      <w:pPr>
        <w:numPr>
          <w:ilvl w:val="1"/>
          <w:numId w:val="900"/>
        </w:numPr>
        <w:spacing w:before="0" w:after="0"/>
      </w:pPr>
      <w:r>
        <w:t>Base Case Development</w:t>
      </w:r>
    </w:p>
    <w:p>
      <w:pPr>
        <w:numPr>
          <w:ilvl w:val="1"/>
          <w:numId w:val="900"/>
        </w:numPr>
        <w:spacing w:before="0" w:after="0"/>
      </w:pPr>
      <w:r>
        <w:t>Upside and Downside Scenarios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Key Variable Sensitivity</w:t>
      </w:r>
    </w:p>
    <w:p>
      <w:pPr>
        <w:numPr>
          <w:ilvl w:val="0"/>
          <w:numId w:val="900"/>
        </w:numPr>
        <w:spacing w:before="0" w:after="0"/>
      </w:pPr>
      <w:r>
        <w:t>Model Validation and Testing</w:t>
      </w:r>
    </w:p>
    <w:p>
      <w:pPr>
        <w:numPr>
          <w:ilvl w:val="1"/>
          <w:numId w:val="900"/>
        </w:numPr>
        <w:spacing w:before="0" w:after="0"/>
      </w:pPr>
      <w:r>
        <w:t>Model Accuracy Assessment</w:t>
      </w:r>
    </w:p>
    <w:p>
      <w:pPr>
        <w:numPr>
          <w:ilvl w:val="1"/>
          <w:numId w:val="900"/>
        </w:numPr>
        <w:spacing w:before="0" w:after="0"/>
      </w:pPr>
      <w:r>
        <w:t>Error Checking Procedures</w:t>
      </w:r>
    </w:p>
    <w:p>
      <w:pPr>
        <w:numPr>
          <w:ilvl w:val="1"/>
          <w:numId w:val="900"/>
        </w:numPr>
        <w:spacing w:before="0" w:after="0"/>
      </w:pPr>
      <w:r>
        <w:t>Model Audit Techniques</w:t>
      </w:r>
    </w:p>
    <w:p>
      <w:pPr>
        <w:numPr>
          <w:ilvl w:val="1"/>
          <w:numId w:val="900"/>
        </w:numPr>
        <w:spacing w:before="0" w:after="0"/>
      </w:pPr>
      <w:r>
        <w:t>Version Control Management</w:t>
      </w:r>
    </w:p>
    <w:p>
      <w:pPr>
        <w:pStyle w:val="Heading1"/>
      </w:pPr>
      <w:r>
        <w:t>Specialized Financial Analysis</w:t>
      </w:r>
    </w:p>
    <w:p>
      <w:pPr>
        <w:numPr>
          <w:ilvl w:val="0"/>
          <w:numId w:val="900"/>
        </w:numPr>
        <w:spacing w:before="0" w:after="0"/>
      </w:pPr>
      <w:r>
        <w:t>Credit Analysis</w:t>
      </w:r>
    </w:p>
    <w:p>
      <w:pPr>
        <w:numPr>
          <w:ilvl w:val="1"/>
          <w:numId w:val="900"/>
        </w:numPr>
        <w:spacing w:before="0" w:after="0"/>
      </w:pPr>
      <w:r>
        <w:t>Credit Risk Assessment Framework</w:t>
      </w:r>
    </w:p>
    <w:p>
      <w:pPr>
        <w:numPr>
          <w:ilvl w:val="1"/>
          <w:numId w:val="900"/>
        </w:numPr>
        <w:spacing w:before="0" w:after="0"/>
      </w:pPr>
      <w:r>
        <w:t>Creditworthiness Evaluation</w:t>
      </w:r>
    </w:p>
    <w:p>
      <w:pPr>
        <w:numPr>
          <w:ilvl w:val="1"/>
          <w:numId w:val="900"/>
        </w:numPr>
        <w:spacing w:before="0" w:after="0"/>
      </w:pPr>
      <w:r>
        <w:t>The Five Cs of Credit</w:t>
      </w:r>
    </w:p>
    <w:p>
      <w:pPr>
        <w:numPr>
          <w:ilvl w:val="2"/>
          <w:numId w:val="900"/>
        </w:numPr>
        <w:spacing w:before="0" w:after="0"/>
      </w:pPr>
      <w:r>
        <w:t>Character Assessment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2"/>
          <w:numId w:val="900"/>
        </w:numPr>
        <w:spacing w:before="0" w:after="0"/>
      </w:pPr>
      <w:r>
        <w:t>Capital Evaluation</w:t>
      </w:r>
    </w:p>
    <w:p>
      <w:pPr>
        <w:numPr>
          <w:ilvl w:val="2"/>
          <w:numId w:val="900"/>
        </w:numPr>
        <w:spacing w:before="0" w:after="0"/>
      </w:pPr>
      <w:r>
        <w:t>Collateral Review</w:t>
      </w:r>
    </w:p>
    <w:p>
      <w:pPr>
        <w:numPr>
          <w:ilvl w:val="2"/>
          <w:numId w:val="900"/>
        </w:numPr>
        <w:spacing w:before="0" w:after="0"/>
      </w:pPr>
      <w:r>
        <w:t>Conditions Analysis</w:t>
      </w:r>
    </w:p>
    <w:p>
      <w:pPr>
        <w:numPr>
          <w:ilvl w:val="1"/>
          <w:numId w:val="900"/>
        </w:numPr>
        <w:spacing w:before="0" w:after="0"/>
      </w:pPr>
      <w:r>
        <w:t>Credit Rating Methodologies</w:t>
      </w:r>
    </w:p>
    <w:p>
      <w:pPr>
        <w:numPr>
          <w:ilvl w:val="1"/>
          <w:numId w:val="900"/>
        </w:numPr>
        <w:spacing w:before="0" w:after="0"/>
      </w:pPr>
      <w:r>
        <w:t>Covenant Analysis</w:t>
      </w:r>
    </w:p>
    <w:p>
      <w:pPr>
        <w:numPr>
          <w:ilvl w:val="2"/>
          <w:numId w:val="900"/>
        </w:numPr>
        <w:spacing w:before="0" w:after="0"/>
      </w:pPr>
      <w:r>
        <w:t>Financial Covenants</w:t>
      </w:r>
    </w:p>
    <w:p>
      <w:pPr>
        <w:numPr>
          <w:ilvl w:val="2"/>
          <w:numId w:val="900"/>
        </w:numPr>
        <w:spacing w:before="0" w:after="0"/>
      </w:pPr>
      <w:r>
        <w:t>Operational Covenants</w:t>
      </w:r>
    </w:p>
    <w:p>
      <w:pPr>
        <w:numPr>
          <w:ilvl w:val="2"/>
          <w:numId w:val="900"/>
        </w:numPr>
        <w:spacing w:before="0" w:after="0"/>
      </w:pPr>
      <w:r>
        <w:t>Negative Covenants</w:t>
      </w:r>
    </w:p>
    <w:p>
      <w:pPr>
        <w:numPr>
          <w:ilvl w:val="1"/>
          <w:numId w:val="900"/>
        </w:numPr>
        <w:spacing w:before="0" w:after="0"/>
      </w:pPr>
      <w:r>
        <w:t>Default Risk Modeling</w:t>
      </w:r>
    </w:p>
    <w:p>
      <w:pPr>
        <w:numPr>
          <w:ilvl w:val="1"/>
          <w:numId w:val="900"/>
        </w:numPr>
        <w:spacing w:before="0" w:after="0"/>
      </w:pPr>
      <w:r>
        <w:t>Recovery Rate Analysis</w:t>
      </w:r>
    </w:p>
    <w:p>
      <w:pPr>
        <w:numPr>
          <w:ilvl w:val="0"/>
          <w:numId w:val="900"/>
        </w:numPr>
        <w:spacing w:before="0" w:after="0"/>
      </w:pPr>
      <w:r>
        <w:t>Merger and Acquisition Analysis</w:t>
      </w:r>
    </w:p>
    <w:p>
      <w:pPr>
        <w:numPr>
          <w:ilvl w:val="1"/>
          <w:numId w:val="900"/>
        </w:numPr>
        <w:spacing w:before="0" w:after="0"/>
      </w:pPr>
      <w:r>
        <w:t>M&amp;A Valuation Framework</w:t>
      </w:r>
    </w:p>
    <w:p>
      <w:pPr>
        <w:numPr>
          <w:ilvl w:val="1"/>
          <w:numId w:val="900"/>
        </w:numPr>
        <w:spacing w:before="0" w:after="0"/>
      </w:pPr>
      <w:r>
        <w:t>Accretion and Dilution Analysis</w:t>
      </w:r>
    </w:p>
    <w:p>
      <w:pPr>
        <w:numPr>
          <w:ilvl w:val="1"/>
          <w:numId w:val="900"/>
        </w:numPr>
        <w:spacing w:before="0" w:after="0"/>
      </w:pPr>
      <w:r>
        <w:t>Synergy Identification and Valuation</w:t>
      </w:r>
    </w:p>
    <w:p>
      <w:pPr>
        <w:numPr>
          <w:ilvl w:val="2"/>
          <w:numId w:val="900"/>
        </w:numPr>
        <w:spacing w:before="0" w:after="0"/>
      </w:pPr>
      <w:r>
        <w:t>Revenue Synergies</w:t>
      </w:r>
    </w:p>
    <w:p>
      <w:pPr>
        <w:numPr>
          <w:ilvl w:val="2"/>
          <w:numId w:val="900"/>
        </w:numPr>
        <w:spacing w:before="0" w:after="0"/>
      </w:pPr>
      <w:r>
        <w:t>Cost Synergies</w:t>
      </w:r>
    </w:p>
    <w:p>
      <w:pPr>
        <w:numPr>
          <w:ilvl w:val="2"/>
          <w:numId w:val="900"/>
        </w:numPr>
        <w:spacing w:before="0" w:after="0"/>
      </w:pPr>
      <w:r>
        <w:t>Tax Synergies</w:t>
      </w:r>
    </w:p>
    <w:p>
      <w:pPr>
        <w:numPr>
          <w:ilvl w:val="1"/>
          <w:numId w:val="900"/>
        </w:numPr>
        <w:spacing w:before="0" w:after="0"/>
      </w:pPr>
      <w:r>
        <w:t>Pro Forma Analysis</w:t>
      </w:r>
    </w:p>
    <w:p>
      <w:pPr>
        <w:numPr>
          <w:ilvl w:val="1"/>
          <w:numId w:val="900"/>
        </w:numPr>
        <w:spacing w:before="0" w:after="0"/>
      </w:pPr>
      <w:r>
        <w:t>Contribution Analysis</w:t>
      </w:r>
    </w:p>
    <w:p>
      <w:pPr>
        <w:numPr>
          <w:ilvl w:val="1"/>
          <w:numId w:val="900"/>
        </w:numPr>
        <w:spacing w:before="0" w:after="0"/>
      </w:pPr>
      <w:r>
        <w:t>Deal Structure Impact</w:t>
      </w:r>
    </w:p>
    <w:p>
      <w:pPr>
        <w:numPr>
          <w:ilvl w:val="1"/>
          <w:numId w:val="900"/>
        </w:numPr>
        <w:spacing w:before="0" w:after="0"/>
      </w:pPr>
      <w:r>
        <w:t>Integration Risk Assessment</w:t>
      </w:r>
    </w:p>
    <w:p>
      <w:pPr>
        <w:numPr>
          <w:ilvl w:val="0"/>
          <w:numId w:val="900"/>
        </w:numPr>
        <w:spacing w:before="0" w:after="0"/>
      </w:pPr>
      <w:r>
        <w:t>Equity Investment Analysis</w:t>
      </w:r>
    </w:p>
    <w:p>
      <w:pPr>
        <w:numPr>
          <w:ilvl w:val="1"/>
          <w:numId w:val="900"/>
        </w:numPr>
        <w:spacing w:before="0" w:after="0"/>
      </w:pPr>
      <w:r>
        <w:t>Investment Philosophy and Style</w:t>
      </w:r>
    </w:p>
    <w:p>
      <w:pPr>
        <w:numPr>
          <w:ilvl w:val="1"/>
          <w:numId w:val="900"/>
        </w:numPr>
        <w:spacing w:before="0" w:after="0"/>
      </w:pPr>
      <w:r>
        <w:t>Top-Down Analysis</w:t>
      </w:r>
    </w:p>
    <w:p>
      <w:pPr>
        <w:numPr>
          <w:ilvl w:val="2"/>
          <w:numId w:val="900"/>
        </w:numPr>
        <w:spacing w:before="0" w:after="0"/>
      </w:pPr>
      <w:r>
        <w:t>Macroeconomic Assessment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Company Selection</w:t>
      </w:r>
    </w:p>
    <w:p>
      <w:pPr>
        <w:numPr>
          <w:ilvl w:val="1"/>
          <w:numId w:val="900"/>
        </w:numPr>
        <w:spacing w:before="0" w:after="0"/>
      </w:pPr>
      <w:r>
        <w:t>Bottom-Up Analysis</w:t>
      </w:r>
    </w:p>
    <w:p>
      <w:pPr>
        <w:numPr>
          <w:ilvl w:val="2"/>
          <w:numId w:val="900"/>
        </w:numPr>
        <w:spacing w:before="0" w:after="0"/>
      </w:pPr>
      <w:r>
        <w:t>Fundamental Analysis</w:t>
      </w:r>
    </w:p>
    <w:p>
      <w:pPr>
        <w:numPr>
          <w:ilvl w:val="2"/>
          <w:numId w:val="900"/>
        </w:numPr>
        <w:spacing w:before="0" w:after="0"/>
      </w:pPr>
      <w:r>
        <w:t>Management Quality Assessment</w:t>
      </w:r>
    </w:p>
    <w:p>
      <w:pPr>
        <w:numPr>
          <w:ilvl w:val="2"/>
          <w:numId w:val="900"/>
        </w:numPr>
        <w:spacing w:before="0" w:after="0"/>
      </w:pPr>
      <w:r>
        <w:t>Competitive Position Analysis</w:t>
      </w:r>
    </w:p>
    <w:p>
      <w:pPr>
        <w:numPr>
          <w:ilvl w:val="1"/>
          <w:numId w:val="900"/>
        </w:numPr>
        <w:spacing w:before="0" w:after="0"/>
      </w:pPr>
      <w:r>
        <w:t>Growth vs. Value Investing</w:t>
      </w:r>
    </w:p>
    <w:p>
      <w:pPr>
        <w:numPr>
          <w:ilvl w:val="1"/>
          <w:numId w:val="900"/>
        </w:numPr>
        <w:spacing w:before="0" w:after="0"/>
      </w:pPr>
      <w:r>
        <w:t>Risk-Adjusted Return Analysis</w:t>
      </w:r>
    </w:p>
    <w:p>
      <w:pPr>
        <w:numPr>
          <w:ilvl w:val="0"/>
          <w:numId w:val="900"/>
        </w:numPr>
        <w:spacing w:before="0" w:after="0"/>
      </w:pPr>
      <w:r>
        <w:t>Financial Institution Analysis</w:t>
      </w:r>
    </w:p>
    <w:p>
      <w:pPr>
        <w:numPr>
          <w:ilvl w:val="1"/>
          <w:numId w:val="900"/>
        </w:numPr>
        <w:spacing w:before="0" w:after="0"/>
      </w:pPr>
      <w:r>
        <w:t>Banking Industry Characteristics</w:t>
      </w:r>
    </w:p>
    <w:p>
      <w:pPr>
        <w:numPr>
          <w:ilvl w:val="1"/>
          <w:numId w:val="900"/>
        </w:numPr>
        <w:spacing w:before="0" w:after="0"/>
      </w:pPr>
      <w:r>
        <w:t>Bank-Specific Ratios</w:t>
      </w:r>
    </w:p>
    <w:p>
      <w:pPr>
        <w:numPr>
          <w:ilvl w:val="2"/>
          <w:numId w:val="900"/>
        </w:numPr>
        <w:spacing w:before="0" w:after="0"/>
      </w:pPr>
      <w:r>
        <w:t>Net Interest Margin</w:t>
      </w:r>
    </w:p>
    <w:p>
      <w:pPr>
        <w:numPr>
          <w:ilvl w:val="2"/>
          <w:numId w:val="900"/>
        </w:numPr>
        <w:spacing w:before="0" w:after="0"/>
      </w:pPr>
      <w:r>
        <w:t>Efficiency Ratio</w:t>
      </w:r>
    </w:p>
    <w:p>
      <w:pPr>
        <w:numPr>
          <w:ilvl w:val="2"/>
          <w:numId w:val="900"/>
        </w:numPr>
        <w:spacing w:before="0" w:after="0"/>
      </w:pPr>
      <w:r>
        <w:t>Return on Assets</w:t>
      </w:r>
    </w:p>
    <w:p>
      <w:pPr>
        <w:numPr>
          <w:ilvl w:val="2"/>
          <w:numId w:val="900"/>
        </w:numPr>
        <w:spacing w:before="0" w:after="0"/>
      </w:pPr>
      <w:r>
        <w:t>Return on Equity</w:t>
      </w:r>
    </w:p>
    <w:p>
      <w:pPr>
        <w:numPr>
          <w:ilvl w:val="2"/>
          <w:numId w:val="900"/>
        </w:numPr>
        <w:spacing w:before="0" w:after="0"/>
      </w:pPr>
      <w:r>
        <w:t>Loan Loss Provisions</w:t>
      </w:r>
    </w:p>
    <w:p>
      <w:pPr>
        <w:numPr>
          <w:ilvl w:val="1"/>
          <w:numId w:val="900"/>
        </w:numPr>
        <w:spacing w:before="0" w:after="0"/>
      </w:pPr>
      <w:r>
        <w:t>Asset Quality Assessment</w:t>
      </w:r>
    </w:p>
    <w:p>
      <w:pPr>
        <w:numPr>
          <w:ilvl w:val="1"/>
          <w:numId w:val="900"/>
        </w:numPr>
        <w:spacing w:before="0" w:after="0"/>
      </w:pPr>
      <w:r>
        <w:t>Capital Adequacy Analysis</w:t>
      </w:r>
    </w:p>
    <w:p>
      <w:pPr>
        <w:numPr>
          <w:ilvl w:val="1"/>
          <w:numId w:val="900"/>
        </w:numPr>
        <w:spacing w:before="0" w:after="0"/>
      </w:pPr>
      <w:r>
        <w:t>Regulatory Environment Impact</w:t>
      </w:r>
    </w:p>
    <w:p>
      <w:pPr>
        <w:numPr>
          <w:ilvl w:val="1"/>
          <w:numId w:val="900"/>
        </w:numPr>
        <w:spacing w:before="0" w:after="0"/>
      </w:pPr>
      <w:r>
        <w:t>Insurance Company Analysis</w:t>
      </w:r>
    </w:p>
    <w:p>
      <w:pPr>
        <w:numPr>
          <w:ilvl w:val="2"/>
          <w:numId w:val="900"/>
        </w:numPr>
        <w:spacing w:before="0" w:after="0"/>
      </w:pPr>
      <w:r>
        <w:t>Combined Ratio</w:t>
      </w:r>
    </w:p>
    <w:p>
      <w:pPr>
        <w:numPr>
          <w:ilvl w:val="2"/>
          <w:numId w:val="900"/>
        </w:numPr>
        <w:spacing w:before="0" w:after="0"/>
      </w:pPr>
      <w:r>
        <w:t>Investment Yield Analysis</w:t>
      </w:r>
    </w:p>
    <w:p>
      <w:pPr>
        <w:numPr>
          <w:ilvl w:val="2"/>
          <w:numId w:val="900"/>
        </w:numPr>
        <w:spacing w:before="0" w:after="0"/>
      </w:pPr>
      <w:r>
        <w:t>Reserve Adequacy</w:t>
      </w:r>
    </w:p>
    <w:p>
      <w:pPr>
        <w:pStyle w:val="Heading1"/>
      </w:pPr>
      <w:r>
        <w:t>Financial Reporting Quality Assessment</w:t>
      </w:r>
    </w:p>
    <w:p>
      <w:pPr>
        <w:numPr>
          <w:ilvl w:val="0"/>
          <w:numId w:val="900"/>
        </w:numPr>
        <w:spacing w:before="0" w:after="0"/>
      </w:pPr>
      <w:r>
        <w:t>Accounting Quality Framework</w:t>
      </w:r>
    </w:p>
    <w:p>
      <w:pPr>
        <w:numPr>
          <w:ilvl w:val="1"/>
          <w:numId w:val="900"/>
        </w:numPr>
        <w:spacing w:before="0" w:after="0"/>
      </w:pPr>
      <w:r>
        <w:t>High-Quality vs. Low-Quality Earnings</w:t>
      </w:r>
    </w:p>
    <w:p>
      <w:pPr>
        <w:numPr>
          <w:ilvl w:val="1"/>
          <w:numId w:val="900"/>
        </w:numPr>
        <w:spacing w:before="0" w:after="0"/>
      </w:pPr>
      <w:r>
        <w:t>Earnings Persistence and Predictability</w:t>
      </w:r>
    </w:p>
    <w:p>
      <w:pPr>
        <w:numPr>
          <w:ilvl w:val="1"/>
          <w:numId w:val="900"/>
        </w:numPr>
        <w:spacing w:before="0" w:after="0"/>
      </w:pPr>
      <w:r>
        <w:t>Cash Flow vs. Accrual Analysis</w:t>
      </w:r>
    </w:p>
    <w:p>
      <w:pPr>
        <w:numPr>
          <w:ilvl w:val="0"/>
          <w:numId w:val="900"/>
        </w:numPr>
        <w:spacing w:before="0" w:after="0"/>
      </w:pPr>
      <w:r>
        <w:t>Revenue Recognition Analysis</w:t>
      </w:r>
    </w:p>
    <w:p>
      <w:pPr>
        <w:numPr>
          <w:ilvl w:val="1"/>
          <w:numId w:val="900"/>
        </w:numPr>
        <w:spacing w:before="0" w:after="0"/>
      </w:pPr>
      <w:r>
        <w:t>Revenue Recognition Standards</w:t>
      </w:r>
    </w:p>
    <w:p>
      <w:pPr>
        <w:numPr>
          <w:ilvl w:val="1"/>
          <w:numId w:val="900"/>
        </w:numPr>
        <w:spacing w:before="0" w:after="0"/>
      </w:pPr>
      <w:r>
        <w:t>Aggressive Revenue Recognition</w:t>
      </w:r>
    </w:p>
    <w:p>
      <w:pPr>
        <w:numPr>
          <w:ilvl w:val="1"/>
          <w:numId w:val="900"/>
        </w:numPr>
        <w:spacing w:before="0" w:after="0"/>
      </w:pPr>
      <w:r>
        <w:t>Channel Stuffing Detection</w:t>
      </w:r>
    </w:p>
    <w:p>
      <w:pPr>
        <w:numPr>
          <w:ilvl w:val="1"/>
          <w:numId w:val="900"/>
        </w:numPr>
        <w:spacing w:before="0" w:after="0"/>
      </w:pPr>
      <w:r>
        <w:t>Bill and Hold Arrangements</w:t>
      </w:r>
    </w:p>
    <w:p>
      <w:pPr>
        <w:numPr>
          <w:ilvl w:val="0"/>
          <w:numId w:val="900"/>
        </w:numPr>
        <w:spacing w:before="0" w:after="0"/>
      </w:pPr>
      <w:r>
        <w:t>Expense Recognition Evaluation</w:t>
      </w:r>
    </w:p>
    <w:p>
      <w:pPr>
        <w:numPr>
          <w:ilvl w:val="1"/>
          <w:numId w:val="900"/>
        </w:numPr>
        <w:spacing w:before="0" w:after="0"/>
      </w:pPr>
      <w:r>
        <w:t>Capitalization vs. Expensing Decisions</w:t>
      </w:r>
    </w:p>
    <w:p>
      <w:pPr>
        <w:numPr>
          <w:ilvl w:val="1"/>
          <w:numId w:val="900"/>
        </w:numPr>
        <w:spacing w:before="0" w:after="0"/>
      </w:pPr>
      <w:r>
        <w:t>Depreciation Policy Analysis</w:t>
      </w:r>
    </w:p>
    <w:p>
      <w:pPr>
        <w:numPr>
          <w:ilvl w:val="1"/>
          <w:numId w:val="900"/>
        </w:numPr>
        <w:spacing w:before="0" w:after="0"/>
      </w:pPr>
      <w:r>
        <w:t>Impairment Assessment</w:t>
      </w:r>
    </w:p>
    <w:p>
      <w:pPr>
        <w:numPr>
          <w:ilvl w:val="1"/>
          <w:numId w:val="900"/>
        </w:numPr>
        <w:spacing w:before="0" w:after="0"/>
      </w:pPr>
      <w:r>
        <w:t>Restructuring Charges</w:t>
      </w:r>
    </w:p>
    <w:p>
      <w:pPr>
        <w:numPr>
          <w:ilvl w:val="0"/>
          <w:numId w:val="900"/>
        </w:numPr>
        <w:spacing w:before="0" w:after="0"/>
      </w:pPr>
      <w:r>
        <w:t>Earnings Management Detection</w:t>
      </w:r>
    </w:p>
    <w:p>
      <w:pPr>
        <w:numPr>
          <w:ilvl w:val="1"/>
          <w:numId w:val="900"/>
        </w:numPr>
        <w:spacing w:before="0" w:after="0"/>
      </w:pPr>
      <w:r>
        <w:t>Motivation for Earnings Management</w:t>
      </w:r>
    </w:p>
    <w:p>
      <w:pPr>
        <w:numPr>
          <w:ilvl w:val="1"/>
          <w:numId w:val="900"/>
        </w:numPr>
        <w:spacing w:before="0" w:after="0"/>
      </w:pPr>
      <w:r>
        <w:t>Common Earnings Management Techniques</w:t>
      </w:r>
    </w:p>
    <w:p>
      <w:pPr>
        <w:numPr>
          <w:ilvl w:val="1"/>
          <w:numId w:val="900"/>
        </w:numPr>
        <w:spacing w:before="0" w:after="0"/>
      </w:pPr>
      <w:r>
        <w:t>Red Flags and Warning Signs</w:t>
      </w:r>
    </w:p>
    <w:p>
      <w:pPr>
        <w:numPr>
          <w:ilvl w:val="1"/>
          <w:numId w:val="900"/>
        </w:numPr>
        <w:spacing w:before="0" w:after="0"/>
      </w:pPr>
      <w:r>
        <w:t>Analytical Procedures for Detection</w:t>
      </w:r>
    </w:p>
    <w:p>
      <w:pPr>
        <w:numPr>
          <w:ilvl w:val="0"/>
          <w:numId w:val="900"/>
        </w:numPr>
        <w:spacing w:before="0" w:after="0"/>
      </w:pPr>
      <w:r>
        <w:t>Off-Balance-Sheet Analysis</w:t>
      </w:r>
    </w:p>
    <w:p>
      <w:pPr>
        <w:numPr>
          <w:ilvl w:val="1"/>
          <w:numId w:val="900"/>
        </w:numPr>
        <w:spacing w:before="0" w:after="0"/>
      </w:pPr>
      <w:r>
        <w:t>Operating Lease Adjustments</w:t>
      </w:r>
    </w:p>
    <w:p>
      <w:pPr>
        <w:numPr>
          <w:ilvl w:val="1"/>
          <w:numId w:val="900"/>
        </w:numPr>
        <w:spacing w:before="0" w:after="0"/>
      </w:pPr>
      <w:r>
        <w:t>Special Purpose Entities</w:t>
      </w:r>
    </w:p>
    <w:p>
      <w:pPr>
        <w:numPr>
          <w:ilvl w:val="1"/>
          <w:numId w:val="900"/>
        </w:numPr>
        <w:spacing w:before="0" w:after="0"/>
      </w:pPr>
      <w:r>
        <w:t>Contingent Liabilities</w:t>
      </w:r>
    </w:p>
    <w:p>
      <w:pPr>
        <w:numPr>
          <w:ilvl w:val="1"/>
          <w:numId w:val="900"/>
        </w:numPr>
        <w:spacing w:before="0" w:after="0"/>
      </w:pPr>
      <w:r>
        <w:t>Guarantees and Commitments</w:t>
      </w:r>
    </w:p>
    <w:p>
      <w:pPr>
        <w:numPr>
          <w:ilvl w:val="0"/>
          <w:numId w:val="900"/>
        </w:numPr>
        <w:spacing w:before="0" w:after="0"/>
      </w:pPr>
      <w:r>
        <w:t>Related Party Transactions</w:t>
      </w:r>
    </w:p>
    <w:p>
      <w:pPr>
        <w:numPr>
          <w:ilvl w:val="1"/>
          <w:numId w:val="900"/>
        </w:numPr>
        <w:spacing w:before="0" w:after="0"/>
      </w:pPr>
      <w:r>
        <w:t>Identification of Related Parties</w:t>
      </w:r>
    </w:p>
    <w:p>
      <w:pPr>
        <w:numPr>
          <w:ilvl w:val="1"/>
          <w:numId w:val="900"/>
        </w:numPr>
        <w:spacing w:before="0" w:after="0"/>
      </w:pPr>
      <w:r>
        <w:t>Transaction Analysis</w:t>
      </w:r>
    </w:p>
    <w:p>
      <w:pPr>
        <w:numPr>
          <w:ilvl w:val="1"/>
          <w:numId w:val="900"/>
        </w:numPr>
        <w:spacing w:before="0" w:after="0"/>
      </w:pPr>
      <w:r>
        <w:t>Impact on Financial Results</w:t>
      </w:r>
    </w:p>
    <w:p>
      <w:pPr>
        <w:numPr>
          <w:ilvl w:val="1"/>
          <w:numId w:val="900"/>
        </w:numPr>
        <w:spacing w:before="0" w:after="0"/>
      </w:pPr>
      <w:r>
        <w:t>Disclosure Adequacy</w:t>
      </w:r>
    </w:p>
    <w:p>
      <w:pPr>
        <w:numPr>
          <w:ilvl w:val="0"/>
          <w:numId w:val="900"/>
        </w:numPr>
        <w:spacing w:before="0" w:after="0"/>
      </w:pPr>
      <w:r>
        <w:t>Accounting Policy Analysis</w:t>
      </w:r>
    </w:p>
    <w:p>
      <w:pPr>
        <w:numPr>
          <w:ilvl w:val="1"/>
          <w:numId w:val="900"/>
        </w:numPr>
        <w:spacing w:before="0" w:after="0"/>
      </w:pPr>
      <w:r>
        <w:t>Accounting Method Choices</w:t>
      </w:r>
    </w:p>
    <w:p>
      <w:pPr>
        <w:numPr>
          <w:ilvl w:val="1"/>
          <w:numId w:val="900"/>
        </w:numPr>
        <w:spacing w:before="0" w:after="0"/>
      </w:pPr>
      <w:r>
        <w:t>Policy Changes Impact</w:t>
      </w:r>
    </w:p>
    <w:p>
      <w:pPr>
        <w:numPr>
          <w:ilvl w:val="1"/>
          <w:numId w:val="900"/>
        </w:numPr>
        <w:spacing w:before="0" w:after="0"/>
      </w:pPr>
      <w:r>
        <w:t>Estimate Revisions</w:t>
      </w:r>
    </w:p>
    <w:p>
      <w:pPr>
        <w:numPr>
          <w:ilvl w:val="1"/>
          <w:numId w:val="900"/>
        </w:numPr>
        <w:spacing w:before="0" w:after="0"/>
      </w:pPr>
      <w:r>
        <w:t>Consistency Assessment</w:t>
      </w:r>
    </w:p>
    <w:p>
      <w:pPr>
        <w:numPr>
          <w:ilvl w:val="0"/>
          <w:numId w:val="900"/>
        </w:numPr>
        <w:spacing w:before="0" w:after="0"/>
      </w:pPr>
      <w:r>
        <w:t>Footnote Analysis Techniques</w:t>
      </w:r>
    </w:p>
    <w:p>
      <w:pPr>
        <w:numPr>
          <w:ilvl w:val="1"/>
          <w:numId w:val="900"/>
        </w:numPr>
        <w:spacing w:before="0" w:after="0"/>
      </w:pPr>
      <w:r>
        <w:t>Critical Information Extraction</w:t>
      </w:r>
    </w:p>
    <w:p>
      <w:pPr>
        <w:numPr>
          <w:ilvl w:val="1"/>
          <w:numId w:val="900"/>
        </w:numPr>
        <w:spacing w:before="0" w:after="0"/>
      </w:pPr>
      <w:r>
        <w:t>Quantitative Disclosures</w:t>
      </w:r>
    </w:p>
    <w:p>
      <w:pPr>
        <w:numPr>
          <w:ilvl w:val="1"/>
          <w:numId w:val="900"/>
        </w:numPr>
        <w:spacing w:before="0" w:after="0"/>
      </w:pPr>
      <w:r>
        <w:t>Qualitative Assessments</w:t>
      </w:r>
    </w:p>
    <w:p>
      <w:pPr>
        <w:numPr>
          <w:ilvl w:val="1"/>
          <w:numId w:val="900"/>
        </w:numPr>
        <w:spacing w:before="0" w:after="0"/>
      </w:pPr>
      <w:r>
        <w:t>Subsequent Events Impact</w:t>
      </w:r>
    </w:p>
    <w:p>
      <w:pPr>
        <w:pStyle w:val="Heading1"/>
      </w:pPr>
      <w:r>
        <w:t>Industry-Specific Analysis Considerations</w:t>
      </w:r>
    </w:p>
    <w:p>
      <w:pPr>
        <w:numPr>
          <w:ilvl w:val="0"/>
          <w:numId w:val="900"/>
        </w:numPr>
        <w:spacing w:before="0" w:after="0"/>
      </w:pPr>
      <w:r>
        <w:t>Technology Companies</w:t>
      </w:r>
    </w:p>
    <w:p>
      <w:pPr>
        <w:numPr>
          <w:ilvl w:val="1"/>
          <w:numId w:val="900"/>
        </w:numPr>
        <w:spacing w:before="0" w:after="0"/>
      </w:pPr>
      <w:r>
        <w:t>Revenue Recognition Complexities</w:t>
      </w:r>
    </w:p>
    <w:p>
      <w:pPr>
        <w:numPr>
          <w:ilvl w:val="1"/>
          <w:numId w:val="900"/>
        </w:numPr>
        <w:spacing w:before="0" w:after="0"/>
      </w:pPr>
      <w:r>
        <w:t>Research and Development Analysis</w:t>
      </w:r>
    </w:p>
    <w:p>
      <w:pPr>
        <w:numPr>
          <w:ilvl w:val="1"/>
          <w:numId w:val="900"/>
        </w:numPr>
        <w:spacing w:before="0" w:after="0"/>
      </w:pPr>
      <w:r>
        <w:t>Intellectual Property Valuation</w:t>
      </w:r>
    </w:p>
    <w:p>
      <w:pPr>
        <w:numPr>
          <w:ilvl w:val="1"/>
          <w:numId w:val="900"/>
        </w:numPr>
        <w:spacing w:before="0" w:after="0"/>
      </w:pPr>
      <w:r>
        <w:t>Stock-Based Compensation</w:t>
      </w:r>
    </w:p>
    <w:p>
      <w:pPr>
        <w:numPr>
          <w:ilvl w:val="0"/>
          <w:numId w:val="900"/>
        </w:numPr>
        <w:spacing w:before="0" w:after="0"/>
      </w:pPr>
      <w:r>
        <w:t>Retail and Consumer Companies</w:t>
      </w:r>
    </w:p>
    <w:p>
      <w:pPr>
        <w:numPr>
          <w:ilvl w:val="1"/>
          <w:numId w:val="900"/>
        </w:numPr>
        <w:spacing w:before="0" w:after="0"/>
      </w:pPr>
      <w:r>
        <w:t>Inventory Management Analysis</w:t>
      </w:r>
    </w:p>
    <w:p>
      <w:pPr>
        <w:numPr>
          <w:ilvl w:val="1"/>
          <w:numId w:val="900"/>
        </w:numPr>
        <w:spacing w:before="0" w:after="0"/>
      </w:pPr>
      <w:r>
        <w:t>Same-Store Sales Growth</w:t>
      </w:r>
    </w:p>
    <w:p>
      <w:pPr>
        <w:numPr>
          <w:ilvl w:val="1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Customer Loyalty Metrics</w:t>
      </w:r>
    </w:p>
    <w:p>
      <w:pPr>
        <w:numPr>
          <w:ilvl w:val="0"/>
          <w:numId w:val="900"/>
        </w:numPr>
        <w:spacing w:before="0" w:after="0"/>
      </w:pPr>
      <w:r>
        <w:t>Manufacturing Companies</w:t>
      </w:r>
    </w:p>
    <w:p>
      <w:pPr>
        <w:numPr>
          <w:ilvl w:val="1"/>
          <w:numId w:val="900"/>
        </w:numPr>
        <w:spacing w:before="0" w:after="0"/>
      </w:pPr>
      <w:r>
        <w:t>Production Capacity Analysis</w:t>
      </w:r>
    </w:p>
    <w:p>
      <w:pPr>
        <w:numPr>
          <w:ilvl w:val="1"/>
          <w:numId w:val="900"/>
        </w:numPr>
        <w:spacing w:before="0" w:after="0"/>
      </w:pPr>
      <w:r>
        <w:t>Supply Chain Assessment</w:t>
      </w:r>
    </w:p>
    <w:p>
      <w:pPr>
        <w:numPr>
          <w:ilvl w:val="1"/>
          <w:numId w:val="900"/>
        </w:numPr>
        <w:spacing w:before="0" w:after="0"/>
      </w:pPr>
      <w:r>
        <w:t>Capital Intensity Evaluation</w:t>
      </w:r>
    </w:p>
    <w:p>
      <w:pPr>
        <w:numPr>
          <w:ilvl w:val="1"/>
          <w:numId w:val="900"/>
        </w:numPr>
        <w:spacing w:before="0" w:after="0"/>
      </w:pPr>
      <w:r>
        <w:t>Cyclical Pattern Recognition</w:t>
      </w:r>
    </w:p>
    <w:p>
      <w:pPr>
        <w:numPr>
          <w:ilvl w:val="0"/>
          <w:numId w:val="900"/>
        </w:numPr>
        <w:spacing w:before="0" w:after="0"/>
      </w:pPr>
      <w:r>
        <w:t>Energy and Utilities</w:t>
      </w:r>
    </w:p>
    <w:p>
      <w:pPr>
        <w:numPr>
          <w:ilvl w:val="1"/>
          <w:numId w:val="900"/>
        </w:numPr>
        <w:spacing w:before="0" w:after="0"/>
      </w:pPr>
      <w:r>
        <w:t>Commodity Price Impact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Reserve-Based Analysis</w:t>
      </w:r>
    </w:p>
    <w:p>
      <w:pPr>
        <w:numPr>
          <w:ilvl w:val="1"/>
          <w:numId w:val="900"/>
        </w:numPr>
        <w:spacing w:before="0" w:after="0"/>
      </w:pPr>
      <w:r>
        <w:t>Environmental Liabilities</w:t>
      </w:r>
    </w:p>
    <w:p>
      <w:pPr>
        <w:numPr>
          <w:ilvl w:val="0"/>
          <w:numId w:val="900"/>
        </w:numPr>
        <w:spacing w:before="0" w:after="0"/>
      </w:pPr>
      <w:r>
        <w:t>Real Estate Companies</w:t>
      </w:r>
    </w:p>
    <w:p>
      <w:pPr>
        <w:numPr>
          <w:ilvl w:val="1"/>
          <w:numId w:val="900"/>
        </w:numPr>
        <w:spacing w:before="0" w:after="0"/>
      </w:pPr>
      <w:r>
        <w:t>Property Valuation Methods</w:t>
      </w:r>
    </w:p>
    <w:p>
      <w:pPr>
        <w:numPr>
          <w:ilvl w:val="1"/>
          <w:numId w:val="900"/>
        </w:numPr>
        <w:spacing w:before="0" w:after="0"/>
      </w:pPr>
      <w:r>
        <w:t>Occupancy Rate Analysis</w:t>
      </w:r>
    </w:p>
    <w:p>
      <w:pPr>
        <w:numPr>
          <w:ilvl w:val="1"/>
          <w:numId w:val="900"/>
        </w:numPr>
        <w:spacing w:before="0" w:after="0"/>
      </w:pPr>
      <w:r>
        <w:t>Development Pipeline Assessment</w:t>
      </w:r>
    </w:p>
    <w:p>
      <w:pPr>
        <w:numPr>
          <w:ilvl w:val="1"/>
          <w:numId w:val="900"/>
        </w:numPr>
        <w:spacing w:before="0" w:after="0"/>
      </w:pPr>
      <w:r>
        <w:t>Interest Rate Sensitivity</w:t>
      </w:r>
    </w:p>
    <w:p>
      <w:pPr>
        <w:numPr>
          <w:ilvl w:val="0"/>
          <w:numId w:val="900"/>
        </w:numPr>
        <w:spacing w:before="0" w:after="0"/>
      </w:pPr>
      <w:r>
        <w:t>Healthcare and Pharmaceuticals</w:t>
      </w:r>
    </w:p>
    <w:p>
      <w:pPr>
        <w:numPr>
          <w:ilvl w:val="1"/>
          <w:numId w:val="900"/>
        </w:numPr>
        <w:spacing w:before="0" w:after="0"/>
      </w:pPr>
      <w:r>
        <w:t>Drug Development Pipeline</w:t>
      </w:r>
    </w:p>
    <w:p>
      <w:pPr>
        <w:numPr>
          <w:ilvl w:val="1"/>
          <w:numId w:val="900"/>
        </w:numPr>
        <w:spacing w:before="0" w:after="0"/>
      </w:pPr>
      <w:r>
        <w:t>Regulatory Approval Process</w:t>
      </w:r>
    </w:p>
    <w:p>
      <w:pPr>
        <w:numPr>
          <w:ilvl w:val="1"/>
          <w:numId w:val="900"/>
        </w:numPr>
        <w:spacing w:before="0" w:after="0"/>
      </w:pPr>
      <w:r>
        <w:t>Patent Expiration Impact</w:t>
      </w:r>
    </w:p>
    <w:p>
      <w:pPr>
        <w:numPr>
          <w:ilvl w:val="1"/>
          <w:numId w:val="900"/>
        </w:numPr>
        <w:spacing w:before="0" w:after="0"/>
      </w:pPr>
      <w:r>
        <w:t>Research and Development Productivity</w:t>
      </w:r>
    </w:p>
    <w:p>
      <w:pPr>
        <w:pStyle w:val="Heading1"/>
      </w:pPr>
      <w:r>
        <w:t>Advanced Analytical Techniques</w:t>
      </w:r>
    </w:p>
    <w:p>
      <w:pPr>
        <w:numPr>
          <w:ilvl w:val="0"/>
          <w:numId w:val="900"/>
        </w:numPr>
        <w:spacing w:before="0" w:after="0"/>
      </w:pPr>
      <w:r>
        <w:t>Statistical Analysis in Finance</w:t>
      </w:r>
    </w:p>
    <w:p>
      <w:pPr>
        <w:numPr>
          <w:ilvl w:val="1"/>
          <w:numId w:val="900"/>
        </w:numPr>
        <w:spacing w:before="0" w:after="0"/>
      </w:pPr>
      <w:r>
        <w:t>Regression Analysis Applications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Variance Analysis</w:t>
      </w:r>
    </w:p>
    <w:p>
      <w:pPr>
        <w:numPr>
          <w:ilvl w:val="0"/>
          <w:numId w:val="900"/>
        </w:numPr>
        <w:spacing w:before="0" w:after="0"/>
      </w:pPr>
      <w:r>
        <w:t>Risk Analysis and Management</w:t>
      </w:r>
    </w:p>
    <w:p>
      <w:pPr>
        <w:numPr>
          <w:ilvl w:val="1"/>
          <w:numId w:val="900"/>
        </w:numPr>
        <w:spacing w:before="0" w:after="0"/>
      </w:pPr>
      <w:r>
        <w:t>Risk Identification Framework</w:t>
      </w:r>
    </w:p>
    <w:p>
      <w:pPr>
        <w:numPr>
          <w:ilvl w:val="1"/>
          <w:numId w:val="900"/>
        </w:numPr>
        <w:spacing w:before="0" w:after="0"/>
      </w:pPr>
      <w:r>
        <w:t>Risk Measurement Techniques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Value at Risk Concepts</w:t>
      </w:r>
    </w:p>
    <w:p>
      <w:pPr>
        <w:numPr>
          <w:ilvl w:val="0"/>
          <w:numId w:val="900"/>
        </w:numPr>
        <w:spacing w:before="0" w:after="0"/>
      </w:pPr>
      <w:r>
        <w:t>Performance Attribution Analysis</w:t>
      </w:r>
    </w:p>
    <w:p>
      <w:pPr>
        <w:numPr>
          <w:ilvl w:val="1"/>
          <w:numId w:val="900"/>
        </w:numPr>
        <w:spacing w:before="0" w:after="0"/>
      </w:pPr>
      <w:r>
        <w:t>Return Decomposition</w:t>
      </w:r>
    </w:p>
    <w:p>
      <w:pPr>
        <w:numPr>
          <w:ilvl w:val="1"/>
          <w:numId w:val="900"/>
        </w:numPr>
        <w:spacing w:before="0" w:after="0"/>
      </w:pPr>
      <w:r>
        <w:t>Factor Analysis</w:t>
      </w:r>
    </w:p>
    <w:p>
      <w:pPr>
        <w:numPr>
          <w:ilvl w:val="1"/>
          <w:numId w:val="900"/>
        </w:numPr>
        <w:spacing w:before="0" w:after="0"/>
      </w:pPr>
      <w:r>
        <w:t>Benchmark Comparison</w:t>
      </w:r>
    </w:p>
    <w:p>
      <w:pPr>
        <w:numPr>
          <w:ilvl w:val="1"/>
          <w:numId w:val="900"/>
        </w:numPr>
        <w:spacing w:before="0" w:after="0"/>
      </w:pPr>
      <w:r>
        <w:t>Active vs. Passive Performance</w:t>
      </w:r>
    </w:p>
    <w:p>
      <w:pPr>
        <w:numPr>
          <w:ilvl w:val="0"/>
          <w:numId w:val="900"/>
        </w:numPr>
        <w:spacing w:before="0" w:after="0"/>
      </w:pPr>
      <w:r>
        <w:t>Economic Value Added Analysis</w:t>
      </w:r>
    </w:p>
    <w:p>
      <w:pPr>
        <w:numPr>
          <w:ilvl w:val="1"/>
          <w:numId w:val="900"/>
        </w:numPr>
        <w:spacing w:before="0" w:after="0"/>
      </w:pPr>
      <w:r>
        <w:t>EVA Calculation Methodology</w:t>
      </w:r>
    </w:p>
    <w:p>
      <w:pPr>
        <w:numPr>
          <w:ilvl w:val="1"/>
          <w:numId w:val="900"/>
        </w:numPr>
        <w:spacing w:before="0" w:after="0"/>
      </w:pPr>
      <w:r>
        <w:t>Cost of Capital Determination</w:t>
      </w:r>
    </w:p>
    <w:p>
      <w:pPr>
        <w:numPr>
          <w:ilvl w:val="1"/>
          <w:numId w:val="900"/>
        </w:numPr>
        <w:spacing w:before="0" w:after="0"/>
      </w:pPr>
      <w:r>
        <w:t>Value Creation Assessment</w:t>
      </w:r>
    </w:p>
    <w:p>
      <w:pPr>
        <w:numPr>
          <w:ilvl w:val="1"/>
          <w:numId w:val="900"/>
        </w:numPr>
        <w:spacing w:before="0" w:after="0"/>
      </w:pPr>
      <w:r>
        <w:t>Management Incentive Alignment</w:t>
      </w:r>
    </w:p>
    <w:p>
      <w:pPr>
        <w:pStyle w:val="Heading1"/>
      </w:pPr>
      <w:r>
        <w:t>Communication and Presentation of Analysis</w:t>
      </w:r>
    </w:p>
    <w:p>
      <w:pPr>
        <w:numPr>
          <w:ilvl w:val="0"/>
          <w:numId w:val="900"/>
        </w:numPr>
        <w:spacing w:before="0" w:after="0"/>
      </w:pPr>
      <w:r>
        <w:t>Report Structure and Organization</w:t>
      </w:r>
    </w:p>
    <w:p>
      <w:pPr>
        <w:numPr>
          <w:ilvl w:val="1"/>
          <w:numId w:val="900"/>
        </w:numPr>
        <w:spacing w:before="0" w:after="0"/>
      </w:pPr>
      <w:r>
        <w:t>Executive Summary Preparation</w:t>
      </w:r>
    </w:p>
    <w:p>
      <w:pPr>
        <w:numPr>
          <w:ilvl w:val="1"/>
          <w:numId w:val="900"/>
        </w:numPr>
        <w:spacing w:before="0" w:after="0"/>
      </w:pPr>
      <w:r>
        <w:t>Analytical Section Development</w:t>
      </w:r>
    </w:p>
    <w:p>
      <w:pPr>
        <w:numPr>
          <w:ilvl w:val="1"/>
          <w:numId w:val="900"/>
        </w:numPr>
        <w:spacing w:before="0" w:after="0"/>
      </w:pPr>
      <w:r>
        <w:t>Conclusion and Recommendations</w:t>
      </w:r>
    </w:p>
    <w:p>
      <w:pPr>
        <w:numPr>
          <w:ilvl w:val="1"/>
          <w:numId w:val="900"/>
        </w:numPr>
        <w:spacing w:before="0" w:after="0"/>
      </w:pPr>
      <w:r>
        <w:t>Supporting Documentation</w:t>
      </w:r>
    </w:p>
    <w:p>
      <w:pPr>
        <w:numPr>
          <w:ilvl w:val="0"/>
          <w:numId w:val="900"/>
        </w:numPr>
        <w:spacing w:before="0" w:after="0"/>
      </w:pPr>
      <w:r>
        <w:t>Data Visualization Techniques</w:t>
      </w:r>
    </w:p>
    <w:p>
      <w:pPr>
        <w:numPr>
          <w:ilvl w:val="1"/>
          <w:numId w:val="900"/>
        </w:numPr>
        <w:spacing w:before="0" w:after="0"/>
      </w:pPr>
      <w:r>
        <w:t>Chart and Graph Selection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Visual Storytelling</w:t>
      </w:r>
    </w:p>
    <w:p>
      <w:pPr>
        <w:numPr>
          <w:ilvl w:val="0"/>
          <w:numId w:val="900"/>
        </w:numPr>
        <w:spacing w:before="0" w:after="0"/>
      </w:pPr>
      <w:r>
        <w:t>Presentation Skills for Analysts</w:t>
      </w:r>
    </w:p>
    <w:p>
      <w:pPr>
        <w:numPr>
          <w:ilvl w:val="1"/>
          <w:numId w:val="900"/>
        </w:numPr>
        <w:spacing w:before="0" w:after="0"/>
      </w:pPr>
      <w:r>
        <w:t>Audience Analysis</w:t>
      </w:r>
    </w:p>
    <w:p>
      <w:pPr>
        <w:numPr>
          <w:ilvl w:val="1"/>
          <w:numId w:val="900"/>
        </w:numPr>
        <w:spacing w:before="0" w:after="0"/>
      </w:pPr>
      <w:r>
        <w:t>Message Clarity</w:t>
      </w:r>
    </w:p>
    <w:p>
      <w:pPr>
        <w:numPr>
          <w:ilvl w:val="1"/>
          <w:numId w:val="900"/>
        </w:numPr>
        <w:spacing w:before="0" w:after="0"/>
      </w:pPr>
      <w:r>
        <w:t>Supporting Evidence</w:t>
      </w:r>
    </w:p>
    <w:p>
      <w:pPr>
        <w:numPr>
          <w:ilvl w:val="1"/>
          <w:numId w:val="900"/>
        </w:numPr>
        <w:spacing w:before="0" w:after="0"/>
      </w:pPr>
      <w:r>
        <w:t>Question and Answer Preparation</w:t>
      </w:r>
    </w:p>
    <w:p>
      <w:pPr>
        <w:numPr>
          <w:ilvl w:val="0"/>
          <w:numId w:val="900"/>
        </w:numPr>
        <w:spacing w:before="0" w:after="0"/>
      </w:pPr>
      <w:r>
        <w:t>Written Communication Standards</w:t>
      </w:r>
    </w:p>
    <w:p>
      <w:pPr>
        <w:numPr>
          <w:ilvl w:val="1"/>
          <w:numId w:val="900"/>
        </w:numPr>
        <w:spacing w:before="0" w:after="0"/>
      </w:pPr>
      <w:r>
        <w:t>Professional Writing Style</w:t>
      </w:r>
    </w:p>
    <w:p>
      <w:pPr>
        <w:numPr>
          <w:ilvl w:val="1"/>
          <w:numId w:val="900"/>
        </w:numPr>
        <w:spacing w:before="0" w:after="0"/>
      </w:pPr>
      <w:r>
        <w:t>Technical Accuracy</w:t>
      </w:r>
    </w:p>
    <w:p>
      <w:pPr>
        <w:numPr>
          <w:ilvl w:val="1"/>
          <w:numId w:val="900"/>
        </w:numPr>
        <w:spacing w:before="0" w:after="0"/>
      </w:pPr>
      <w:r>
        <w:t>Clarity and Conciseness</w:t>
      </w:r>
    </w:p>
    <w:p>
      <w:pPr>
        <w:numPr>
          <w:ilvl w:val="1"/>
          <w:numId w:val="900"/>
        </w:numPr>
        <w:spacing w:before="0" w:after="0"/>
      </w:pPr>
      <w:r>
        <w:t>Proofreading and Review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