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Engagement</w:t>
      </w:r>
    </w:p>
    <w:p>
      <w:pPr>
        <w:pStyle w:val="Heading1"/>
      </w:pPr>
      <w:r>
        <w:t>Foundations of Employee Engagement</w:t>
      </w:r>
    </w:p>
    <w:p>
      <w:pPr>
        <w:numPr>
          <w:ilvl w:val="0"/>
          <w:numId w:val="900"/>
        </w:numPr>
        <w:spacing w:before="0" w:after="0"/>
      </w:pPr>
      <w:r>
        <w:t>Defining Employee Engagement</w:t>
      </w:r>
    </w:p>
    <w:p>
      <w:pPr>
        <w:numPr>
          <w:ilvl w:val="1"/>
          <w:numId w:val="900"/>
        </w:numPr>
        <w:spacing w:before="0" w:after="0"/>
      </w:pPr>
      <w:r>
        <w:t>Core Concept and Definition</w:t>
      </w:r>
    </w:p>
    <w:p>
      <w:pPr>
        <w:numPr>
          <w:ilvl w:val="1"/>
          <w:numId w:val="900"/>
        </w:numPr>
        <w:spacing w:before="0" w:after="0"/>
      </w:pPr>
      <w:r>
        <w:t>Emotional Commitment</w:t>
      </w:r>
    </w:p>
    <w:p>
      <w:pPr>
        <w:numPr>
          <w:ilvl w:val="1"/>
          <w:numId w:val="900"/>
        </w:numPr>
        <w:spacing w:before="0" w:after="0"/>
      </w:pPr>
      <w:r>
        <w:t>Rational Commitment</w:t>
      </w:r>
    </w:p>
    <w:p>
      <w:pPr>
        <w:numPr>
          <w:ilvl w:val="1"/>
          <w:numId w:val="900"/>
        </w:numPr>
        <w:spacing w:before="0" w:after="0"/>
      </w:pPr>
      <w:r>
        <w:t>Discretionary Effort</w:t>
      </w:r>
    </w:p>
    <w:p>
      <w:pPr>
        <w:numPr>
          <w:ilvl w:val="1"/>
          <w:numId w:val="900"/>
        </w:numPr>
        <w:spacing w:before="0" w:after="0"/>
      </w:pPr>
      <w:r>
        <w:t>Behavioral Indicators of Engagement</w:t>
      </w:r>
    </w:p>
    <w:p>
      <w:pPr>
        <w:numPr>
          <w:ilvl w:val="0"/>
          <w:numId w:val="900"/>
        </w:numPr>
        <w:spacing w:before="0" w:after="0"/>
      </w:pPr>
      <w:r>
        <w:t>Differentiating Engagement from Related Concepts</w:t>
      </w:r>
    </w:p>
    <w:p>
      <w:pPr>
        <w:numPr>
          <w:ilvl w:val="1"/>
          <w:numId w:val="900"/>
        </w:numPr>
        <w:spacing w:before="0" w:after="0"/>
      </w:pPr>
      <w:r>
        <w:t>Employee Satisfaction</w:t>
      </w:r>
    </w:p>
    <w:p>
      <w:pPr>
        <w:numPr>
          <w:ilvl w:val="1"/>
          <w:numId w:val="900"/>
        </w:numPr>
        <w:spacing w:before="0" w:after="0"/>
      </w:pPr>
      <w:r>
        <w:t>Employee Motivation</w:t>
      </w:r>
    </w:p>
    <w:p>
      <w:pPr>
        <w:numPr>
          <w:ilvl w:val="1"/>
          <w:numId w:val="900"/>
        </w:numPr>
        <w:spacing w:before="0" w:after="0"/>
      </w:pPr>
      <w:r>
        <w:t>Employee Happiness</w:t>
      </w:r>
    </w:p>
    <w:p>
      <w:pPr>
        <w:numPr>
          <w:ilvl w:val="1"/>
          <w:numId w:val="900"/>
        </w:numPr>
        <w:spacing w:before="0" w:after="0"/>
      </w:pPr>
      <w:r>
        <w:t>Employee Experience</w:t>
      </w:r>
    </w:p>
    <w:p>
      <w:pPr>
        <w:numPr>
          <w:ilvl w:val="1"/>
          <w:numId w:val="900"/>
        </w:numPr>
        <w:spacing w:before="0" w:after="0"/>
      </w:pPr>
      <w:r>
        <w:t>Organizational Commitment</w:t>
      </w:r>
    </w:p>
    <w:p>
      <w:pPr>
        <w:numPr>
          <w:ilvl w:val="1"/>
          <w:numId w:val="900"/>
        </w:numPr>
        <w:spacing w:before="0" w:after="0"/>
      </w:pPr>
      <w:r>
        <w:t>Job Involvement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Management Theories</w:t>
      </w:r>
    </w:p>
    <w:p>
      <w:pPr>
        <w:numPr>
          <w:ilvl w:val="2"/>
          <w:numId w:val="900"/>
        </w:numPr>
        <w:spacing w:before="0" w:after="0"/>
      </w:pPr>
      <w:r>
        <w:t>Scientific Management</w:t>
      </w:r>
    </w:p>
    <w:p>
      <w:pPr>
        <w:numPr>
          <w:ilvl w:val="2"/>
          <w:numId w:val="900"/>
        </w:numPr>
        <w:spacing w:before="0" w:after="0"/>
      </w:pPr>
      <w:r>
        <w:t>Human Relations Movement</w:t>
      </w:r>
    </w:p>
    <w:p>
      <w:pPr>
        <w:numPr>
          <w:ilvl w:val="2"/>
          <w:numId w:val="900"/>
        </w:numPr>
        <w:spacing w:before="0" w:after="0"/>
      </w:pPr>
      <w:r>
        <w:t>Classical Motivation Theories</w:t>
      </w:r>
    </w:p>
    <w:p>
      <w:pPr>
        <w:numPr>
          <w:ilvl w:val="3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Herzberg's Two-Factor Theory</w:t>
      </w:r>
    </w:p>
    <w:p>
      <w:pPr>
        <w:numPr>
          <w:ilvl w:val="3"/>
          <w:numId w:val="900"/>
        </w:numPr>
        <w:spacing w:before="0" w:after="0"/>
      </w:pPr>
      <w:r>
        <w:t>McGregor's Theory X and Theory Y</w:t>
      </w:r>
    </w:p>
    <w:p>
      <w:pPr>
        <w:numPr>
          <w:ilvl w:val="1"/>
          <w:numId w:val="900"/>
        </w:numPr>
        <w:spacing w:before="0" w:after="0"/>
      </w:pPr>
      <w:r>
        <w:t>Emergence as a Business Metric</w:t>
      </w:r>
    </w:p>
    <w:p>
      <w:pPr>
        <w:numPr>
          <w:ilvl w:val="2"/>
          <w:numId w:val="900"/>
        </w:numPr>
        <w:spacing w:before="0" w:after="0"/>
      </w:pPr>
      <w:r>
        <w:t>Shift to Knowledge Work</w:t>
      </w:r>
    </w:p>
    <w:p>
      <w:pPr>
        <w:numPr>
          <w:ilvl w:val="2"/>
          <w:numId w:val="900"/>
        </w:numPr>
        <w:spacing w:before="0" w:after="0"/>
      </w:pPr>
      <w:r>
        <w:t>Rise of Employee Surveys</w:t>
      </w:r>
    </w:p>
    <w:p>
      <w:pPr>
        <w:numPr>
          <w:ilvl w:val="2"/>
          <w:numId w:val="900"/>
        </w:numPr>
        <w:spacing w:before="0" w:after="0"/>
      </w:pPr>
      <w:r>
        <w:t>Integration into HR Strategy</w:t>
      </w:r>
    </w:p>
    <w:p>
      <w:pPr>
        <w:numPr>
          <w:ilvl w:val="1"/>
          <w:numId w:val="900"/>
        </w:numPr>
        <w:spacing w:before="0" w:after="0"/>
      </w:pPr>
      <w:r>
        <w:t>Recent Trends in Engagement Research</w:t>
      </w:r>
    </w:p>
    <w:p>
      <w:pPr>
        <w:numPr>
          <w:ilvl w:val="0"/>
          <w:numId w:val="900"/>
        </w:numPr>
        <w:spacing w:before="0" w:after="0"/>
      </w:pPr>
      <w:r>
        <w:t>Key Models of Employee Engagement</w:t>
      </w:r>
    </w:p>
    <w:p>
      <w:pPr>
        <w:numPr>
          <w:ilvl w:val="1"/>
          <w:numId w:val="900"/>
        </w:numPr>
        <w:spacing w:before="0" w:after="0"/>
      </w:pPr>
      <w:r>
        <w:t>Kahn's Model of Personal Engagement</w:t>
      </w:r>
    </w:p>
    <w:p>
      <w:pPr>
        <w:numPr>
          <w:ilvl w:val="2"/>
          <w:numId w:val="900"/>
        </w:numPr>
        <w:spacing w:before="0" w:after="0"/>
      </w:pPr>
      <w:r>
        <w:t>Psychological Meaningfulness</w:t>
      </w:r>
    </w:p>
    <w:p>
      <w:pPr>
        <w:numPr>
          <w:ilvl w:val="2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Psychological Availability</w:t>
      </w:r>
    </w:p>
    <w:p>
      <w:pPr>
        <w:numPr>
          <w:ilvl w:val="1"/>
          <w:numId w:val="900"/>
        </w:numPr>
        <w:spacing w:before="0" w:after="0"/>
      </w:pPr>
      <w:r>
        <w:t>Utrecht Work Engagement Scale</w:t>
      </w:r>
    </w:p>
    <w:p>
      <w:pPr>
        <w:numPr>
          <w:ilvl w:val="2"/>
          <w:numId w:val="900"/>
        </w:numPr>
        <w:spacing w:before="0" w:after="0"/>
      </w:pPr>
      <w:r>
        <w:t>Vigor</w:t>
      </w:r>
    </w:p>
    <w:p>
      <w:pPr>
        <w:numPr>
          <w:ilvl w:val="2"/>
          <w:numId w:val="900"/>
        </w:numPr>
        <w:spacing w:before="0" w:after="0"/>
      </w:pPr>
      <w:r>
        <w:t>Dedication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1"/>
          <w:numId w:val="900"/>
        </w:numPr>
        <w:spacing w:before="0" w:after="0"/>
      </w:pPr>
      <w:r>
        <w:t>Maslach Burnout Inventory as Counterpart</w:t>
      </w:r>
    </w:p>
    <w:p>
      <w:pPr>
        <w:numPr>
          <w:ilvl w:val="2"/>
          <w:numId w:val="900"/>
        </w:numPr>
        <w:spacing w:before="0" w:after="0"/>
      </w:pPr>
      <w:r>
        <w:t>Emotional Exhaustion</w:t>
      </w:r>
    </w:p>
    <w:p>
      <w:pPr>
        <w:numPr>
          <w:ilvl w:val="2"/>
          <w:numId w:val="900"/>
        </w:numPr>
        <w:spacing w:before="0" w:after="0"/>
      </w:pPr>
      <w:r>
        <w:t>Depersonalization</w:t>
      </w:r>
    </w:p>
    <w:p>
      <w:pPr>
        <w:numPr>
          <w:ilvl w:val="2"/>
          <w:numId w:val="900"/>
        </w:numPr>
        <w:spacing w:before="0" w:after="0"/>
      </w:pPr>
      <w:r>
        <w:t>Reduced Personal Accomplishment</w:t>
      </w:r>
    </w:p>
    <w:p>
      <w:pPr>
        <w:numPr>
          <w:ilvl w:val="1"/>
          <w:numId w:val="900"/>
        </w:numPr>
        <w:spacing w:before="0" w:after="0"/>
      </w:pPr>
      <w:r>
        <w:t>Gallup's Q12 Model</w:t>
      </w:r>
    </w:p>
    <w:p>
      <w:pPr>
        <w:numPr>
          <w:ilvl w:val="2"/>
          <w:numId w:val="900"/>
        </w:numPr>
        <w:spacing w:before="0" w:after="0"/>
      </w:pPr>
      <w:r>
        <w:t>Overview of the 12 Elements</w:t>
      </w:r>
    </w:p>
    <w:p>
      <w:pPr>
        <w:numPr>
          <w:ilvl w:val="2"/>
          <w:numId w:val="900"/>
        </w:numPr>
        <w:spacing w:before="0" w:after="0"/>
      </w:pPr>
      <w:r>
        <w:t>Application in Organizations</w:t>
      </w:r>
    </w:p>
    <w:p>
      <w:pPr>
        <w:numPr>
          <w:ilvl w:val="1"/>
          <w:numId w:val="900"/>
        </w:numPr>
        <w:spacing w:before="0" w:after="0"/>
      </w:pPr>
      <w:r>
        <w:t>Other Notable Models</w:t>
      </w:r>
    </w:p>
    <w:p>
      <w:pPr>
        <w:numPr>
          <w:ilvl w:val="2"/>
          <w:numId w:val="900"/>
        </w:numPr>
        <w:spacing w:before="0" w:after="0"/>
      </w:pPr>
      <w:r>
        <w:t>Aon Hewitt Model</w:t>
      </w:r>
    </w:p>
    <w:p>
      <w:pPr>
        <w:numPr>
          <w:ilvl w:val="2"/>
          <w:numId w:val="900"/>
        </w:numPr>
        <w:spacing w:before="0" w:after="0"/>
      </w:pPr>
      <w:r>
        <w:t>Towers Watson Model</w:t>
      </w:r>
    </w:p>
    <w:p>
      <w:pPr>
        <w:numPr>
          <w:ilvl w:val="2"/>
          <w:numId w:val="900"/>
        </w:numPr>
        <w:spacing w:before="0" w:after="0"/>
      </w:pPr>
      <w:r>
        <w:t>JRA Model</w:t>
      </w:r>
    </w:p>
    <w:p>
      <w:pPr>
        <w:numPr>
          <w:ilvl w:val="2"/>
          <w:numId w:val="900"/>
        </w:numPr>
        <w:spacing w:before="0" w:after="0"/>
      </w:pPr>
      <w:r>
        <w:t>ISA Engagement Scale</w:t>
      </w:r>
    </w:p>
    <w:p>
      <w:pPr>
        <w:pStyle w:val="Heading1"/>
      </w:pPr>
      <w:r>
        <w:t>The Business Case for Employee Engagement</w:t>
      </w:r>
    </w:p>
    <w:p>
      <w:pPr>
        <w:numPr>
          <w:ilvl w:val="0"/>
          <w:numId w:val="900"/>
        </w:numPr>
        <w:spacing w:before="0" w:after="0"/>
      </w:pPr>
      <w:r>
        <w:t>Linking Engagement to Organizational Performance</w:t>
      </w:r>
    </w:p>
    <w:p>
      <w:pPr>
        <w:numPr>
          <w:ilvl w:val="1"/>
          <w:numId w:val="900"/>
        </w:numPr>
        <w:spacing w:before="0" w:after="0"/>
      </w:pPr>
      <w:r>
        <w:t>Impact on Productivity and Efficiency</w:t>
      </w:r>
    </w:p>
    <w:p>
      <w:pPr>
        <w:numPr>
          <w:ilvl w:val="1"/>
          <w:numId w:val="900"/>
        </w:numPr>
        <w:spacing w:before="0" w:after="0"/>
      </w:pPr>
      <w:r>
        <w:t>Connection to Profitability</w:t>
      </w:r>
    </w:p>
    <w:p>
      <w:pPr>
        <w:numPr>
          <w:ilvl w:val="1"/>
          <w:numId w:val="900"/>
        </w:numPr>
        <w:spacing w:before="0" w:after="0"/>
      </w:pPr>
      <w:r>
        <w:t>Influence on Customer Satisfaction and Loyalty</w:t>
      </w:r>
    </w:p>
    <w:p>
      <w:pPr>
        <w:numPr>
          <w:ilvl w:val="2"/>
          <w:numId w:val="900"/>
        </w:numPr>
        <w:spacing w:before="0" w:after="0"/>
      </w:pPr>
      <w:r>
        <w:t>Service-Profit Chain</w:t>
      </w:r>
    </w:p>
    <w:p>
      <w:pPr>
        <w:numPr>
          <w:ilvl w:val="1"/>
          <w:numId w:val="900"/>
        </w:numPr>
        <w:spacing w:before="0" w:after="0"/>
      </w:pPr>
      <w:r>
        <w:t>Quality of Work Output</w:t>
      </w:r>
    </w:p>
    <w:p>
      <w:pPr>
        <w:numPr>
          <w:ilvl w:val="1"/>
          <w:numId w:val="900"/>
        </w:numPr>
        <w:spacing w:before="0" w:after="0"/>
      </w:pPr>
      <w:r>
        <w:t>Revenue Growth</w:t>
      </w:r>
    </w:p>
    <w:p>
      <w:pPr>
        <w:numPr>
          <w:ilvl w:val="1"/>
          <w:numId w:val="900"/>
        </w:numPr>
        <w:spacing w:before="0" w:after="0"/>
      </w:pPr>
      <w:r>
        <w:t>Market Share Performance</w:t>
      </w:r>
    </w:p>
    <w:p>
      <w:pPr>
        <w:numPr>
          <w:ilvl w:val="0"/>
          <w:numId w:val="900"/>
        </w:numPr>
        <w:spacing w:before="0" w:after="0"/>
      </w:pPr>
      <w:r>
        <w:t>Impact on Human Capital Management</w:t>
      </w:r>
    </w:p>
    <w:p>
      <w:pPr>
        <w:numPr>
          <w:ilvl w:val="1"/>
          <w:numId w:val="900"/>
        </w:numPr>
        <w:spacing w:before="0" w:after="0"/>
      </w:pPr>
      <w:r>
        <w:t>Employee Retention and Turnover Reduction</w:t>
      </w:r>
    </w:p>
    <w:p>
      <w:pPr>
        <w:numPr>
          <w:ilvl w:val="1"/>
          <w:numId w:val="900"/>
        </w:numPr>
        <w:spacing w:before="0" w:after="0"/>
      </w:pPr>
      <w:r>
        <w:t>Talent Attraction and Employer Branding</w:t>
      </w:r>
    </w:p>
    <w:p>
      <w:pPr>
        <w:numPr>
          <w:ilvl w:val="1"/>
          <w:numId w:val="900"/>
        </w:numPr>
        <w:spacing w:before="0" w:after="0"/>
      </w:pPr>
      <w:r>
        <w:t>Reduction in Absenteeism</w:t>
      </w:r>
    </w:p>
    <w:p>
      <w:pPr>
        <w:numPr>
          <w:ilvl w:val="1"/>
          <w:numId w:val="900"/>
        </w:numPr>
        <w:spacing w:before="0" w:after="0"/>
      </w:pPr>
      <w:r>
        <w:t>Lower Recruitment and Training Costs</w:t>
      </w:r>
    </w:p>
    <w:p>
      <w:pPr>
        <w:numPr>
          <w:ilvl w:val="1"/>
          <w:numId w:val="900"/>
        </w:numPr>
        <w:spacing w:before="0" w:after="0"/>
      </w:pPr>
      <w:r>
        <w:t>Succession Planning Effectiveness</w:t>
      </w:r>
    </w:p>
    <w:p>
      <w:pPr>
        <w:numPr>
          <w:ilvl w:val="0"/>
          <w:numId w:val="900"/>
        </w:numPr>
        <w:spacing w:before="0" w:after="0"/>
      </w:pPr>
      <w:r>
        <w:t>Fostering Innovation and Agility</w:t>
      </w:r>
    </w:p>
    <w:p>
      <w:pPr>
        <w:numPr>
          <w:ilvl w:val="1"/>
          <w:numId w:val="900"/>
        </w:numPr>
        <w:spacing w:before="0" w:after="0"/>
      </w:pPr>
      <w:r>
        <w:t>Engaged Employees as Change Agents</w:t>
      </w:r>
    </w:p>
    <w:p>
      <w:pPr>
        <w:numPr>
          <w:ilvl w:val="1"/>
          <w:numId w:val="900"/>
        </w:numPr>
        <w:spacing w:before="0" w:after="0"/>
      </w:pPr>
      <w:r>
        <w:t>Culture of Continuous Improvement</w:t>
      </w:r>
    </w:p>
    <w:p>
      <w:pPr>
        <w:numPr>
          <w:ilvl w:val="1"/>
          <w:numId w:val="900"/>
        </w:numPr>
        <w:spacing w:before="0" w:after="0"/>
      </w:pPr>
      <w:r>
        <w:t>Increased Willingness to Share Ideas</w:t>
      </w:r>
    </w:p>
    <w:p>
      <w:pPr>
        <w:numPr>
          <w:ilvl w:val="1"/>
          <w:numId w:val="900"/>
        </w:numPr>
        <w:spacing w:before="0" w:after="0"/>
      </w:pPr>
      <w:r>
        <w:t>Responsiveness to Market Changes</w:t>
      </w:r>
    </w:p>
    <w:p>
      <w:pPr>
        <w:numPr>
          <w:ilvl w:val="1"/>
          <w:numId w:val="900"/>
        </w:numPr>
        <w:spacing w:before="0" w:after="0"/>
      </w:pPr>
      <w:r>
        <w:t>Problem-Solving Capabilities</w:t>
      </w:r>
    </w:p>
    <w:p>
      <w:pPr>
        <w:numPr>
          <w:ilvl w:val="0"/>
          <w:numId w:val="900"/>
        </w:numPr>
        <w:spacing w:before="0" w:after="0"/>
      </w:pPr>
      <w:r>
        <w:t>Health, Safety, and Wellbeing</w:t>
      </w:r>
    </w:p>
    <w:p>
      <w:pPr>
        <w:numPr>
          <w:ilvl w:val="1"/>
          <w:numId w:val="900"/>
        </w:numPr>
        <w:spacing w:before="0" w:after="0"/>
      </w:pPr>
      <w:r>
        <w:t>Correlation with Fewer Safety Incidents</w:t>
      </w:r>
    </w:p>
    <w:p>
      <w:pPr>
        <w:numPr>
          <w:ilvl w:val="1"/>
          <w:numId w:val="900"/>
        </w:numPr>
        <w:spacing w:before="0" w:after="0"/>
      </w:pPr>
      <w:r>
        <w:t>Impact on Employee Wellbeing</w:t>
      </w:r>
    </w:p>
    <w:p>
      <w:pPr>
        <w:numPr>
          <w:ilvl w:val="1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Reduced Presenteeism</w:t>
      </w:r>
    </w:p>
    <w:p>
      <w:pPr>
        <w:numPr>
          <w:ilvl w:val="1"/>
          <w:numId w:val="900"/>
        </w:numPr>
        <w:spacing w:before="0" w:after="0"/>
      </w:pPr>
      <w:r>
        <w:t>Healthcare Cost Reduction</w:t>
      </w:r>
    </w:p>
    <w:p>
      <w:pPr>
        <w:numPr>
          <w:ilvl w:val="0"/>
          <w:numId w:val="900"/>
        </w:numPr>
        <w:spacing w:before="0" w:after="0"/>
      </w:pPr>
      <w:r>
        <w:t>Financial Returns on Engagement Investment</w:t>
      </w:r>
    </w:p>
    <w:p>
      <w:pPr>
        <w:numPr>
          <w:ilvl w:val="1"/>
          <w:numId w:val="900"/>
        </w:numPr>
        <w:spacing w:before="0" w:after="0"/>
      </w:pPr>
      <w:r>
        <w:t>ROI Calculations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Long-term Financial Impact</w:t>
      </w:r>
    </w:p>
    <w:p>
      <w:pPr>
        <w:pStyle w:val="Heading1"/>
      </w:pPr>
      <w:r>
        <w:t>Key Drivers of Employee Engagement</w:t>
      </w:r>
    </w:p>
    <w:p>
      <w:pPr>
        <w:numPr>
          <w:ilvl w:val="0"/>
          <w:numId w:val="900"/>
        </w:numPr>
        <w:spacing w:before="0" w:after="0"/>
      </w:pPr>
      <w:r>
        <w:t>Leadership and Management</w:t>
      </w:r>
    </w:p>
    <w:p>
      <w:pPr>
        <w:numPr>
          <w:ilvl w:val="1"/>
          <w:numId w:val="900"/>
        </w:numPr>
        <w:spacing w:before="0" w:after="0"/>
      </w:pPr>
      <w:r>
        <w:t>Trust in Senior Leadership</w:t>
      </w:r>
    </w:p>
    <w:p>
      <w:pPr>
        <w:numPr>
          <w:ilvl w:val="1"/>
          <w:numId w:val="900"/>
        </w:numPr>
        <w:spacing w:before="0" w:after="0"/>
      </w:pPr>
      <w:r>
        <w:t>Managerial Relationship and Support</w:t>
      </w:r>
    </w:p>
    <w:p>
      <w:pPr>
        <w:numPr>
          <w:ilvl w:val="1"/>
          <w:numId w:val="900"/>
        </w:numPr>
        <w:spacing w:before="0" w:after="0"/>
      </w:pPr>
      <w:r>
        <w:t>Effective Communication and Transparency</w:t>
      </w:r>
    </w:p>
    <w:p>
      <w:pPr>
        <w:numPr>
          <w:ilvl w:val="1"/>
          <w:numId w:val="900"/>
        </w:numPr>
        <w:spacing w:before="0" w:after="0"/>
      </w:pPr>
      <w:r>
        <w:t>Leadership Empathy and Authenticity</w:t>
      </w:r>
    </w:p>
    <w:p>
      <w:pPr>
        <w:numPr>
          <w:ilvl w:val="1"/>
          <w:numId w:val="900"/>
        </w:numPr>
        <w:spacing w:before="0" w:after="0"/>
      </w:pPr>
      <w:r>
        <w:t>Consistency in Actions and Words</w:t>
      </w:r>
    </w:p>
    <w:p>
      <w:pPr>
        <w:numPr>
          <w:ilvl w:val="1"/>
          <w:numId w:val="900"/>
        </w:numPr>
        <w:spacing w:before="0" w:after="0"/>
      </w:pPr>
      <w:r>
        <w:t>Accessibility of Leaders</w:t>
      </w:r>
    </w:p>
    <w:p>
      <w:pPr>
        <w:numPr>
          <w:ilvl w:val="1"/>
          <w:numId w:val="900"/>
        </w:numPr>
        <w:spacing w:before="0" w:after="0"/>
      </w:pPr>
      <w:r>
        <w:t>Vision and Direction Setting</w:t>
      </w:r>
    </w:p>
    <w:p>
      <w:pPr>
        <w:numPr>
          <w:ilvl w:val="1"/>
          <w:numId w:val="900"/>
        </w:numPr>
        <w:spacing w:before="0" w:after="0"/>
      </w:pPr>
      <w:r>
        <w:t>Decision-Making Transparency</w:t>
      </w:r>
    </w:p>
    <w:p>
      <w:pPr>
        <w:numPr>
          <w:ilvl w:val="0"/>
          <w:numId w:val="900"/>
        </w:numPr>
        <w:spacing w:before="0" w:after="0"/>
      </w:pPr>
      <w:r>
        <w:t>The Nature of the Work</w:t>
      </w:r>
    </w:p>
    <w:p>
      <w:pPr>
        <w:numPr>
          <w:ilvl w:val="1"/>
          <w:numId w:val="900"/>
        </w:numPr>
        <w:spacing w:before="0" w:after="0"/>
      </w:pPr>
      <w:r>
        <w:t>Meaningful and Purposeful Work</w:t>
      </w:r>
    </w:p>
    <w:p>
      <w:pPr>
        <w:numPr>
          <w:ilvl w:val="1"/>
          <w:numId w:val="900"/>
        </w:numPr>
        <w:spacing w:before="0" w:after="0"/>
      </w:pPr>
      <w:r>
        <w:t>Alignment with Personal Values</w:t>
      </w:r>
    </w:p>
    <w:p>
      <w:pPr>
        <w:numPr>
          <w:ilvl w:val="1"/>
          <w:numId w:val="900"/>
        </w:numPr>
        <w:spacing w:before="0" w:after="0"/>
      </w:pPr>
      <w:r>
        <w:t>Autonomy and Empowerment</w:t>
      </w:r>
    </w:p>
    <w:p>
      <w:pPr>
        <w:numPr>
          <w:ilvl w:val="1"/>
          <w:numId w:val="900"/>
        </w:numPr>
        <w:spacing w:before="0" w:after="0"/>
      </w:pPr>
      <w:r>
        <w:t>Clarity of Role and Expectations</w:t>
      </w:r>
    </w:p>
    <w:p>
      <w:pPr>
        <w:numPr>
          <w:ilvl w:val="1"/>
          <w:numId w:val="900"/>
        </w:numPr>
        <w:spacing w:before="0" w:after="0"/>
      </w:pPr>
      <w:r>
        <w:t>Manageable Workload</w:t>
      </w:r>
    </w:p>
    <w:p>
      <w:pPr>
        <w:numPr>
          <w:ilvl w:val="1"/>
          <w:numId w:val="900"/>
        </w:numPr>
        <w:spacing w:before="0" w:after="0"/>
      </w:pPr>
      <w:r>
        <w:t>Work-Life Balance</w:t>
      </w:r>
    </w:p>
    <w:p>
      <w:pPr>
        <w:numPr>
          <w:ilvl w:val="1"/>
          <w:numId w:val="900"/>
        </w:numPr>
        <w:spacing w:before="0" w:after="0"/>
      </w:pPr>
      <w:r>
        <w:t>Opportunities for Creativity</w:t>
      </w:r>
    </w:p>
    <w:p>
      <w:pPr>
        <w:numPr>
          <w:ilvl w:val="1"/>
          <w:numId w:val="900"/>
        </w:numPr>
        <w:spacing w:before="0" w:after="0"/>
      </w:pPr>
      <w:r>
        <w:t>Job Design and Enrichment</w:t>
      </w:r>
    </w:p>
    <w:p>
      <w:pPr>
        <w:numPr>
          <w:ilvl w:val="1"/>
          <w:numId w:val="900"/>
        </w:numPr>
        <w:spacing w:before="0" w:after="0"/>
      </w:pPr>
      <w:r>
        <w:t>Task Variety and Challenge</w:t>
      </w:r>
    </w:p>
    <w:p>
      <w:pPr>
        <w:numPr>
          <w:ilvl w:val="0"/>
          <w:numId w:val="900"/>
        </w:numPr>
        <w:spacing w:before="0" w:after="0"/>
      </w:pPr>
      <w:r>
        <w:t>Organizational Culture and Environment</w:t>
      </w:r>
    </w:p>
    <w:p>
      <w:pPr>
        <w:numPr>
          <w:ilvl w:val="1"/>
          <w:numId w:val="900"/>
        </w:numPr>
        <w:spacing w:before="0" w:after="0"/>
      </w:pPr>
      <w:r>
        <w:t>Psychological Safety</w:t>
      </w:r>
    </w:p>
    <w:p>
      <w:pPr>
        <w:numPr>
          <w:ilvl w:val="1"/>
          <w:numId w:val="900"/>
        </w:numPr>
        <w:spacing w:before="0" w:after="0"/>
      </w:pPr>
      <w:r>
        <w:t>Diversity, Equity, Inclusion, and Belonging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2"/>
          <w:numId w:val="900"/>
        </w:numPr>
        <w:spacing w:before="0" w:after="0"/>
      </w:pPr>
      <w:r>
        <w:t>Fairness in Policies</w:t>
      </w:r>
    </w:p>
    <w:p>
      <w:pPr>
        <w:numPr>
          <w:ilvl w:val="2"/>
          <w:numId w:val="900"/>
        </w:numPr>
        <w:spacing w:before="0" w:after="0"/>
      </w:pPr>
      <w:r>
        <w:t>Inclusive Practices</w:t>
      </w:r>
    </w:p>
    <w:p>
      <w:pPr>
        <w:numPr>
          <w:ilvl w:val="2"/>
          <w:numId w:val="900"/>
        </w:numPr>
        <w:spacing w:before="0" w:after="0"/>
      </w:pPr>
      <w:r>
        <w:t>Cultural Competence</w:t>
      </w:r>
    </w:p>
    <w:p>
      <w:pPr>
        <w:numPr>
          <w:ilvl w:val="1"/>
          <w:numId w:val="900"/>
        </w:numPr>
        <w:spacing w:before="0" w:after="0"/>
      </w:pPr>
      <w:r>
        <w:t>Strong Peer Relationships and Team Cohesion</w:t>
      </w:r>
    </w:p>
    <w:p>
      <w:pPr>
        <w:numPr>
          <w:ilvl w:val="1"/>
          <w:numId w:val="900"/>
        </w:numPr>
        <w:spacing w:before="0" w:after="0"/>
      </w:pPr>
      <w:r>
        <w:t>Organizational Values and Ethics</w:t>
      </w:r>
    </w:p>
    <w:p>
      <w:pPr>
        <w:numPr>
          <w:ilvl w:val="1"/>
          <w:numId w:val="900"/>
        </w:numPr>
        <w:spacing w:before="0" w:after="0"/>
      </w:pPr>
      <w:r>
        <w:t>Physical Work Environment</w:t>
      </w:r>
    </w:p>
    <w:p>
      <w:pPr>
        <w:numPr>
          <w:ilvl w:val="1"/>
          <w:numId w:val="900"/>
        </w:numPr>
        <w:spacing w:before="0" w:after="0"/>
      </w:pPr>
      <w:r>
        <w:t>Support for Social Connections</w:t>
      </w:r>
    </w:p>
    <w:p>
      <w:pPr>
        <w:numPr>
          <w:ilvl w:val="1"/>
          <w:numId w:val="900"/>
        </w:numPr>
        <w:spacing w:before="0" w:after="0"/>
      </w:pPr>
      <w:r>
        <w:t>Collaborative Culture</w:t>
      </w:r>
    </w:p>
    <w:p>
      <w:pPr>
        <w:numPr>
          <w:ilvl w:val="1"/>
          <w:numId w:val="900"/>
        </w:numPr>
        <w:spacing w:before="0" w:after="0"/>
      </w:pPr>
      <w:r>
        <w:t>Innovation Culture</w:t>
      </w:r>
    </w:p>
    <w:p>
      <w:pPr>
        <w:numPr>
          <w:ilvl w:val="0"/>
          <w:numId w:val="900"/>
        </w:numPr>
        <w:spacing w:before="0" w:after="0"/>
      </w:pPr>
      <w:r>
        <w:t>Growth and Development Opportunities</w:t>
      </w:r>
    </w:p>
    <w:p>
      <w:pPr>
        <w:numPr>
          <w:ilvl w:val="1"/>
          <w:numId w:val="900"/>
        </w:numPr>
        <w:spacing w:before="0" w:after="0"/>
      </w:pPr>
      <w:r>
        <w:t>Career Pathing and Advancement</w:t>
      </w:r>
    </w:p>
    <w:p>
      <w:pPr>
        <w:numPr>
          <w:ilvl w:val="1"/>
          <w:numId w:val="900"/>
        </w:numPr>
        <w:spacing w:before="0" w:after="0"/>
      </w:pPr>
      <w:r>
        <w:t>Access to Learning and Skill Development</w:t>
      </w:r>
    </w:p>
    <w:p>
      <w:pPr>
        <w:numPr>
          <w:ilvl w:val="2"/>
          <w:numId w:val="900"/>
        </w:numPr>
        <w:spacing w:before="0" w:after="0"/>
      </w:pPr>
      <w:r>
        <w:t>Formal Training Programs</w:t>
      </w:r>
    </w:p>
    <w:p>
      <w:pPr>
        <w:numPr>
          <w:ilvl w:val="2"/>
          <w:numId w:val="900"/>
        </w:numPr>
        <w:spacing w:before="0" w:after="0"/>
      </w:pPr>
      <w:r>
        <w:t>On-the-Job Learning</w:t>
      </w:r>
    </w:p>
    <w:p>
      <w:pPr>
        <w:numPr>
          <w:ilvl w:val="2"/>
          <w:numId w:val="900"/>
        </w:numPr>
        <w:spacing w:before="0" w:after="0"/>
      </w:pPr>
      <w:r>
        <w:t>Mentoring and Coaching</w:t>
      </w:r>
    </w:p>
    <w:p>
      <w:pPr>
        <w:numPr>
          <w:ilvl w:val="2"/>
          <w:numId w:val="900"/>
        </w:numPr>
        <w:spacing w:before="0" w:after="0"/>
      </w:pPr>
      <w:r>
        <w:t>Cross-Functional Exposure</w:t>
      </w:r>
    </w:p>
    <w:p>
      <w:pPr>
        <w:numPr>
          <w:ilvl w:val="1"/>
          <w:numId w:val="900"/>
        </w:numPr>
        <w:spacing w:before="0" w:after="0"/>
      </w:pPr>
      <w:r>
        <w:t>Constructive Performance Feedback</w:t>
      </w:r>
    </w:p>
    <w:p>
      <w:pPr>
        <w:numPr>
          <w:ilvl w:val="1"/>
          <w:numId w:val="900"/>
        </w:numPr>
        <w:spacing w:before="0" w:after="0"/>
      </w:pPr>
      <w:r>
        <w:t>Regular Coaching Conversations</w:t>
      </w:r>
    </w:p>
    <w:p>
      <w:pPr>
        <w:numPr>
          <w:ilvl w:val="1"/>
          <w:numId w:val="900"/>
        </w:numPr>
        <w:spacing w:before="0" w:after="0"/>
      </w:pPr>
      <w:r>
        <w:t>Stretch Assignments</w:t>
      </w:r>
    </w:p>
    <w:p>
      <w:pPr>
        <w:numPr>
          <w:ilvl w:val="1"/>
          <w:numId w:val="900"/>
        </w:numPr>
        <w:spacing w:before="0" w:after="0"/>
      </w:pPr>
      <w:r>
        <w:t>Internal Mobility Opportunities</w:t>
      </w:r>
    </w:p>
    <w:p>
      <w:pPr>
        <w:numPr>
          <w:ilvl w:val="0"/>
          <w:numId w:val="900"/>
        </w:numPr>
        <w:spacing w:before="0" w:after="0"/>
      </w:pPr>
      <w:r>
        <w:t>Recognition and Rewards</w:t>
      </w:r>
    </w:p>
    <w:p>
      <w:pPr>
        <w:numPr>
          <w:ilvl w:val="1"/>
          <w:numId w:val="900"/>
        </w:numPr>
        <w:spacing w:before="0" w:after="0"/>
      </w:pPr>
      <w:r>
        <w:t>Fair and Equitable Compensation</w:t>
      </w:r>
    </w:p>
    <w:p>
      <w:pPr>
        <w:numPr>
          <w:ilvl w:val="1"/>
          <w:numId w:val="900"/>
        </w:numPr>
        <w:spacing w:before="0" w:after="0"/>
      </w:pPr>
      <w:r>
        <w:t>Formal Recognition Programs</w:t>
      </w:r>
    </w:p>
    <w:p>
      <w:pPr>
        <w:numPr>
          <w:ilvl w:val="1"/>
          <w:numId w:val="900"/>
        </w:numPr>
        <w:spacing w:before="0" w:after="0"/>
      </w:pPr>
      <w:r>
        <w:t>Informal and Peer-to-Peer Appreciation</w:t>
      </w:r>
    </w:p>
    <w:p>
      <w:pPr>
        <w:numPr>
          <w:ilvl w:val="1"/>
          <w:numId w:val="900"/>
        </w:numPr>
        <w:spacing w:before="0" w:after="0"/>
      </w:pPr>
      <w:r>
        <w:t>Acknowledgment of Contributions</w:t>
      </w:r>
    </w:p>
    <w:p>
      <w:pPr>
        <w:numPr>
          <w:ilvl w:val="1"/>
          <w:numId w:val="900"/>
        </w:numPr>
        <w:spacing w:before="0" w:after="0"/>
      </w:pPr>
      <w:r>
        <w:t>Non-Monetary Rewards</w:t>
      </w:r>
    </w:p>
    <w:p>
      <w:pPr>
        <w:numPr>
          <w:ilvl w:val="1"/>
          <w:numId w:val="900"/>
        </w:numPr>
        <w:spacing w:before="0" w:after="0"/>
      </w:pPr>
      <w:r>
        <w:t>Timeliness and Specificity of Recognition</w:t>
      </w:r>
    </w:p>
    <w:p>
      <w:pPr>
        <w:numPr>
          <w:ilvl w:val="1"/>
          <w:numId w:val="900"/>
        </w:numPr>
        <w:spacing w:before="0" w:after="0"/>
      </w:pPr>
      <w:r>
        <w:t>Benefits and Perks</w:t>
      </w:r>
    </w:p>
    <w:p>
      <w:pPr>
        <w:numPr>
          <w:ilvl w:val="1"/>
          <w:numId w:val="900"/>
        </w:numPr>
        <w:spacing w:before="0" w:after="0"/>
      </w:pPr>
      <w:r>
        <w:t>Performance-Based Incentives</w:t>
      </w:r>
    </w:p>
    <w:p>
      <w:pPr>
        <w:pStyle w:val="Heading1"/>
      </w:pPr>
      <w:r>
        <w:t>Measuring Employee Engagement</w:t>
      </w:r>
    </w:p>
    <w:p>
      <w:pPr>
        <w:numPr>
          <w:ilvl w:val="0"/>
          <w:numId w:val="900"/>
        </w:numPr>
        <w:spacing w:before="0" w:after="0"/>
      </w:pPr>
      <w:r>
        <w:t>Quantitative Measurement Tools</w:t>
      </w:r>
    </w:p>
    <w:p>
      <w:pPr>
        <w:numPr>
          <w:ilvl w:val="1"/>
          <w:numId w:val="900"/>
        </w:numPr>
        <w:spacing w:before="0" w:after="0"/>
      </w:pPr>
      <w:r>
        <w:t>Annual Engagement Surveys</w:t>
      </w:r>
    </w:p>
    <w:p>
      <w:pPr>
        <w:numPr>
          <w:ilvl w:val="1"/>
          <w:numId w:val="900"/>
        </w:numPr>
        <w:spacing w:before="0" w:after="0"/>
      </w:pPr>
      <w:r>
        <w:t>Pulse Surveys</w:t>
      </w:r>
    </w:p>
    <w:p>
      <w:pPr>
        <w:numPr>
          <w:ilvl w:val="1"/>
          <w:numId w:val="900"/>
        </w:numPr>
        <w:spacing w:before="0" w:after="0"/>
      </w:pPr>
      <w:r>
        <w:t>Employee Net Promoter Score</w:t>
      </w:r>
    </w:p>
    <w:p>
      <w:pPr>
        <w:numPr>
          <w:ilvl w:val="1"/>
          <w:numId w:val="900"/>
        </w:numPr>
        <w:spacing w:before="0" w:after="0"/>
      </w:pPr>
      <w:r>
        <w:t>Real-Time Feedback Tools</w:t>
      </w:r>
    </w:p>
    <w:p>
      <w:pPr>
        <w:numPr>
          <w:ilvl w:val="1"/>
          <w:numId w:val="900"/>
        </w:numPr>
        <w:spacing w:before="0" w:after="0"/>
      </w:pPr>
      <w:r>
        <w:t>Mobile Survey Applications</w:t>
      </w:r>
    </w:p>
    <w:p>
      <w:pPr>
        <w:numPr>
          <w:ilvl w:val="1"/>
          <w:numId w:val="900"/>
        </w:numPr>
        <w:spacing w:before="0" w:after="0"/>
      </w:pPr>
      <w:r>
        <w:t>Continuous Listening Platforms</w:t>
      </w:r>
    </w:p>
    <w:p>
      <w:pPr>
        <w:numPr>
          <w:ilvl w:val="0"/>
          <w:numId w:val="900"/>
        </w:numPr>
        <w:spacing w:before="0" w:after="0"/>
      </w:pPr>
      <w:r>
        <w:t>Qualitative Measurement Methods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1"/>
          <w:numId w:val="900"/>
        </w:numPr>
        <w:spacing w:before="0" w:after="0"/>
      </w:pPr>
      <w:r>
        <w:t>One-on-One Interviews</w:t>
      </w:r>
    </w:p>
    <w:p>
      <w:pPr>
        <w:numPr>
          <w:ilvl w:val="2"/>
          <w:numId w:val="900"/>
        </w:numPr>
        <w:spacing w:before="0" w:after="0"/>
      </w:pPr>
      <w:r>
        <w:t>Stay Interviews</w:t>
      </w:r>
    </w:p>
    <w:p>
      <w:pPr>
        <w:numPr>
          <w:ilvl w:val="2"/>
          <w:numId w:val="900"/>
        </w:numPr>
        <w:spacing w:before="0" w:after="0"/>
      </w:pPr>
      <w:r>
        <w:t>Exit Interviews</w:t>
      </w:r>
    </w:p>
    <w:p>
      <w:pPr>
        <w:numPr>
          <w:ilvl w:val="2"/>
          <w:numId w:val="900"/>
        </w:numPr>
        <w:spacing w:before="0" w:after="0"/>
      </w:pPr>
      <w:r>
        <w:t>Career Conversations</w:t>
      </w:r>
    </w:p>
    <w:p>
      <w:pPr>
        <w:numPr>
          <w:ilvl w:val="1"/>
          <w:numId w:val="900"/>
        </w:numPr>
        <w:spacing w:before="0" w:after="0"/>
      </w:pPr>
      <w:r>
        <w:t>Open-Ended Survey Questions</w:t>
      </w:r>
    </w:p>
    <w:p>
      <w:pPr>
        <w:numPr>
          <w:ilvl w:val="1"/>
          <w:numId w:val="900"/>
        </w:numPr>
        <w:spacing w:before="0" w:after="0"/>
      </w:pPr>
      <w:r>
        <w:t>Observation and Ethnographic Methods</w:t>
      </w:r>
    </w:p>
    <w:p>
      <w:pPr>
        <w:numPr>
          <w:ilvl w:val="1"/>
          <w:numId w:val="900"/>
        </w:numPr>
        <w:spacing w:before="0" w:after="0"/>
      </w:pPr>
      <w:r>
        <w:t>Town Hall Feedback Sessions</w:t>
      </w:r>
    </w:p>
    <w:p>
      <w:pPr>
        <w:numPr>
          <w:ilvl w:val="0"/>
          <w:numId w:val="900"/>
        </w:numPr>
        <w:spacing w:before="0" w:after="0"/>
      </w:pPr>
      <w:r>
        <w:t>Behavioral and Outcome Metrics</w:t>
      </w:r>
    </w:p>
    <w:p>
      <w:pPr>
        <w:numPr>
          <w:ilvl w:val="1"/>
          <w:numId w:val="900"/>
        </w:numPr>
        <w:spacing w:before="0" w:after="0"/>
      </w:pPr>
      <w:r>
        <w:t>Absenteeism Rates</w:t>
      </w:r>
    </w:p>
    <w:p>
      <w:pPr>
        <w:numPr>
          <w:ilvl w:val="1"/>
          <w:numId w:val="900"/>
        </w:numPr>
        <w:spacing w:before="0" w:after="0"/>
      </w:pPr>
      <w:r>
        <w:t>Employee Turnover Rates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Participation in Company Initiatives</w:t>
      </w:r>
    </w:p>
    <w:p>
      <w:pPr>
        <w:numPr>
          <w:ilvl w:val="1"/>
          <w:numId w:val="900"/>
        </w:numPr>
        <w:spacing w:before="0" w:after="0"/>
      </w:pPr>
      <w:r>
        <w:t>Internal Mobility Rates</w:t>
      </w:r>
    </w:p>
    <w:p>
      <w:pPr>
        <w:numPr>
          <w:ilvl w:val="1"/>
          <w:numId w:val="900"/>
        </w:numPr>
        <w:spacing w:before="0" w:after="0"/>
      </w:pPr>
      <w:r>
        <w:t>Customer Feedback Linked to Employee Engagement</w:t>
      </w:r>
    </w:p>
    <w:p>
      <w:pPr>
        <w:numPr>
          <w:ilvl w:val="1"/>
          <w:numId w:val="900"/>
        </w:numPr>
        <w:spacing w:before="0" w:after="0"/>
      </w:pPr>
      <w:r>
        <w:t>Innovation Metrics</w:t>
      </w:r>
    </w:p>
    <w:p>
      <w:pPr>
        <w:numPr>
          <w:ilvl w:val="1"/>
          <w:numId w:val="900"/>
        </w:numPr>
        <w:spacing w:before="0" w:after="0"/>
      </w:pPr>
      <w:r>
        <w:t>Safety Incident Rates</w:t>
      </w:r>
    </w:p>
    <w:p>
      <w:pPr>
        <w:numPr>
          <w:ilvl w:val="0"/>
          <w:numId w:val="900"/>
        </w:numPr>
        <w:spacing w:before="0" w:after="0"/>
      </w:pPr>
      <w:r>
        <w:t>Survey Design and Administration</w:t>
      </w:r>
    </w:p>
    <w:p>
      <w:pPr>
        <w:numPr>
          <w:ilvl w:val="1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Validity and Reliability</w:t>
      </w:r>
    </w:p>
    <w:p>
      <w:pPr>
        <w:numPr>
          <w:ilvl w:val="2"/>
          <w:numId w:val="900"/>
        </w:numPr>
        <w:spacing w:before="0" w:after="0"/>
      </w:pPr>
      <w:r>
        <w:t>Use of Likert Scales</w:t>
      </w:r>
    </w:p>
    <w:p>
      <w:pPr>
        <w:numPr>
          <w:ilvl w:val="2"/>
          <w:numId w:val="900"/>
        </w:numPr>
        <w:spacing w:before="0" w:after="0"/>
      </w:pPr>
      <w:r>
        <w:t>Question Types and Formats</w:t>
      </w:r>
    </w:p>
    <w:p>
      <w:pPr>
        <w:numPr>
          <w:ilvl w:val="1"/>
          <w:numId w:val="900"/>
        </w:numPr>
        <w:spacing w:before="0" w:after="0"/>
      </w:pPr>
      <w:r>
        <w:t>Anonymity and Confidentiality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Survey Length and Frequency</w:t>
      </w:r>
    </w:p>
    <w:p>
      <w:pPr>
        <w:numPr>
          <w:ilvl w:val="1"/>
          <w:numId w:val="900"/>
        </w:numPr>
        <w:spacing w:before="0" w:after="0"/>
      </w:pPr>
      <w:r>
        <w:t>Response Rate Optimization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Identifying Trends and Patterns</w:t>
      </w:r>
    </w:p>
    <w:p>
      <w:pPr>
        <w:numPr>
          <w:ilvl w:val="2"/>
          <w:numId w:val="900"/>
        </w:numPr>
        <w:spacing w:before="0" w:after="0"/>
      </w:pPr>
      <w:r>
        <w:t>Segmenting Results by Demographics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External Benchmarking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1"/>
          <w:numId w:val="900"/>
        </w:numPr>
        <w:spacing w:before="0" w:after="0"/>
      </w:pPr>
      <w:r>
        <w:t>Reporting and Sharing Results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Manager Toolkits</w:t>
      </w:r>
    </w:p>
    <w:p>
      <w:pPr>
        <w:pStyle w:val="Heading1"/>
      </w:pPr>
      <w:r>
        <w:t>Strategies for Improving Employee Engagement</w:t>
      </w:r>
    </w:p>
    <w:p>
      <w:pPr>
        <w:numPr>
          <w:ilvl w:val="0"/>
          <w:numId w:val="900"/>
        </w:numPr>
        <w:spacing w:before="0" w:after="0"/>
      </w:pPr>
      <w:r>
        <w:t>Developing an Engagement Strategy</w:t>
      </w:r>
    </w:p>
    <w:p>
      <w:pPr>
        <w:numPr>
          <w:ilvl w:val="1"/>
          <w:numId w:val="900"/>
        </w:numPr>
        <w:spacing w:before="0" w:after="0"/>
      </w:pPr>
      <w:r>
        <w:t>Securing Leadership Buy-in</w:t>
      </w:r>
    </w:p>
    <w:p>
      <w:pPr>
        <w:numPr>
          <w:ilvl w:val="1"/>
          <w:numId w:val="900"/>
        </w:numPr>
        <w:spacing w:before="0" w:after="0"/>
      </w:pPr>
      <w:r>
        <w:t>Establishing an Engagement Committee or Champions</w:t>
      </w:r>
    </w:p>
    <w:p>
      <w:pPr>
        <w:numPr>
          <w:ilvl w:val="1"/>
          <w:numId w:val="900"/>
        </w:numPr>
        <w:spacing w:before="0" w:after="0"/>
      </w:pPr>
      <w:r>
        <w:t>Setting Clear Goals and Objectives</w:t>
      </w:r>
    </w:p>
    <w:p>
      <w:pPr>
        <w:numPr>
          <w:ilvl w:val="1"/>
          <w:numId w:val="900"/>
        </w:numPr>
        <w:spacing w:before="0" w:after="0"/>
      </w:pPr>
      <w:r>
        <w:t>Aligning Engagement with Business Strategy</w:t>
      </w:r>
    </w:p>
    <w:p>
      <w:pPr>
        <w:numPr>
          <w:ilvl w:val="1"/>
          <w:numId w:val="900"/>
        </w:numPr>
        <w:spacing w:before="0" w:after="0"/>
      </w:pPr>
      <w:r>
        <w:t>Resource Allocation and Budgeting</w:t>
      </w:r>
    </w:p>
    <w:p>
      <w:pPr>
        <w:numPr>
          <w:ilvl w:val="0"/>
          <w:numId w:val="900"/>
        </w:numPr>
        <w:spacing w:before="0" w:after="0"/>
      </w:pPr>
      <w:r>
        <w:t>Action Planning and Implementation</w:t>
      </w:r>
    </w:p>
    <w:p>
      <w:pPr>
        <w:numPr>
          <w:ilvl w:val="1"/>
          <w:numId w:val="900"/>
        </w:numPr>
        <w:spacing w:before="0" w:after="0"/>
      </w:pPr>
      <w:r>
        <w:t>Analyzing Survey Results to Identify Priorities</w:t>
      </w:r>
    </w:p>
    <w:p>
      <w:pPr>
        <w:numPr>
          <w:ilvl w:val="1"/>
          <w:numId w:val="900"/>
        </w:numPr>
        <w:spacing w:before="0" w:after="0"/>
      </w:pPr>
      <w:r>
        <w:t>Creating Department-Specific Action Plans</w:t>
      </w:r>
    </w:p>
    <w:p>
      <w:pPr>
        <w:numPr>
          <w:ilvl w:val="1"/>
          <w:numId w:val="900"/>
        </w:numPr>
        <w:spacing w:before="0" w:after="0"/>
      </w:pPr>
      <w:r>
        <w:t>Assigning Ownership and Timelines</w:t>
      </w:r>
    </w:p>
    <w:p>
      <w:pPr>
        <w:numPr>
          <w:ilvl w:val="1"/>
          <w:numId w:val="900"/>
        </w:numPr>
        <w:spacing w:before="0" w:after="0"/>
      </w:pPr>
      <w:r>
        <w:t>Monitoring Progress and Adjusting Plans</w:t>
      </w:r>
    </w:p>
    <w:p>
      <w:pPr>
        <w:numPr>
          <w:ilvl w:val="1"/>
          <w:numId w:val="900"/>
        </w:numPr>
        <w:spacing w:before="0" w:after="0"/>
      </w:pPr>
      <w:r>
        <w:t>Change Management Principles</w:t>
      </w:r>
    </w:p>
    <w:p>
      <w:pPr>
        <w:numPr>
          <w:ilvl w:val="0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Communicating Survey Results Transparently</w:t>
      </w:r>
    </w:p>
    <w:p>
      <w:pPr>
        <w:numPr>
          <w:ilvl w:val="1"/>
          <w:numId w:val="900"/>
        </w:numPr>
        <w:spacing w:before="0" w:after="0"/>
      </w:pPr>
      <w:r>
        <w:t>Sharing Action Plans and Progress</w:t>
      </w:r>
    </w:p>
    <w:p>
      <w:pPr>
        <w:numPr>
          <w:ilvl w:val="1"/>
          <w:numId w:val="900"/>
        </w:numPr>
        <w:spacing w:before="0" w:after="0"/>
      </w:pPr>
      <w:r>
        <w:t>Fostering a Culture of Open Dialogue</w:t>
      </w:r>
    </w:p>
    <w:p>
      <w:pPr>
        <w:numPr>
          <w:ilvl w:val="1"/>
          <w:numId w:val="900"/>
        </w:numPr>
        <w:spacing w:before="0" w:after="0"/>
      </w:pPr>
      <w:r>
        <w:t>Encouraging Two-Way Communication</w:t>
      </w:r>
    </w:p>
    <w:p>
      <w:pPr>
        <w:numPr>
          <w:ilvl w:val="1"/>
          <w:numId w:val="900"/>
        </w:numPr>
        <w:spacing w:before="0" w:after="0"/>
      </w:pPr>
      <w:r>
        <w:t>Using Multiple Communication Channels</w:t>
      </w:r>
    </w:p>
    <w:p>
      <w:pPr>
        <w:numPr>
          <w:ilvl w:val="1"/>
          <w:numId w:val="900"/>
        </w:numPr>
        <w:spacing w:before="0" w:after="0"/>
      </w:pPr>
      <w:r>
        <w:t>Storytelling and Case Studies</w:t>
      </w:r>
    </w:p>
    <w:p>
      <w:pPr>
        <w:numPr>
          <w:ilvl w:val="0"/>
          <w:numId w:val="900"/>
        </w:numPr>
        <w:spacing w:before="0" w:after="0"/>
      </w:pPr>
      <w:r>
        <w:t>Key Intervention Areas</w:t>
      </w:r>
    </w:p>
    <w:p>
      <w:pPr>
        <w:numPr>
          <w:ilvl w:val="1"/>
          <w:numId w:val="900"/>
        </w:numPr>
        <w:spacing w:before="0" w:after="0"/>
      </w:pPr>
      <w:r>
        <w:t>Enhancing Onboarding Processes</w:t>
      </w:r>
    </w:p>
    <w:p>
      <w:pPr>
        <w:numPr>
          <w:ilvl w:val="2"/>
          <w:numId w:val="900"/>
        </w:numPr>
        <w:spacing w:before="0" w:after="0"/>
      </w:pPr>
      <w:r>
        <w:t>Preboarding Activities</w:t>
      </w:r>
    </w:p>
    <w:p>
      <w:pPr>
        <w:numPr>
          <w:ilvl w:val="2"/>
          <w:numId w:val="900"/>
        </w:numPr>
        <w:spacing w:before="0" w:after="0"/>
      </w:pPr>
      <w:r>
        <w:t>Early Engagement Touchpoints</w:t>
      </w:r>
    </w:p>
    <w:p>
      <w:pPr>
        <w:numPr>
          <w:ilvl w:val="2"/>
          <w:numId w:val="900"/>
        </w:numPr>
        <w:spacing w:before="0" w:after="0"/>
      </w:pPr>
      <w:r>
        <w:t>90-Day Integration Plans</w:t>
      </w:r>
    </w:p>
    <w:p>
      <w:pPr>
        <w:numPr>
          <w:ilvl w:val="1"/>
          <w:numId w:val="900"/>
        </w:numPr>
        <w:spacing w:before="0" w:after="0"/>
      </w:pPr>
      <w:r>
        <w:t>Redesigning Jobs for Meaning and Autonomy</w:t>
      </w:r>
    </w:p>
    <w:p>
      <w:pPr>
        <w:numPr>
          <w:ilvl w:val="2"/>
          <w:numId w:val="900"/>
        </w:numPr>
        <w:spacing w:before="0" w:after="0"/>
      </w:pPr>
      <w:r>
        <w:t>Job Enrichment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2"/>
          <w:numId w:val="900"/>
        </w:numPr>
        <w:spacing w:before="0" w:after="0"/>
      </w:pPr>
      <w:r>
        <w:t>Role Clarity Initiatives</w:t>
      </w:r>
    </w:p>
    <w:p>
      <w:pPr>
        <w:numPr>
          <w:ilvl w:val="1"/>
          <w:numId w:val="900"/>
        </w:numPr>
        <w:spacing w:before="0" w:after="0"/>
      </w:pPr>
      <w:r>
        <w:t>Implementing Recognition Platforms</w:t>
      </w:r>
    </w:p>
    <w:p>
      <w:pPr>
        <w:numPr>
          <w:ilvl w:val="2"/>
          <w:numId w:val="900"/>
        </w:numPr>
        <w:spacing w:before="0" w:after="0"/>
      </w:pPr>
      <w:r>
        <w:t>Digital Recognition Tools</w:t>
      </w:r>
    </w:p>
    <w:p>
      <w:pPr>
        <w:numPr>
          <w:ilvl w:val="2"/>
          <w:numId w:val="900"/>
        </w:numPr>
        <w:spacing w:before="0" w:after="0"/>
      </w:pPr>
      <w:r>
        <w:t>Peer Nomination Systems</w:t>
      </w:r>
    </w:p>
    <w:p>
      <w:pPr>
        <w:numPr>
          <w:ilvl w:val="2"/>
          <w:numId w:val="900"/>
        </w:numPr>
        <w:spacing w:before="0" w:after="0"/>
      </w:pPr>
      <w:r>
        <w:t>Social Recognition Features</w:t>
      </w:r>
    </w:p>
    <w:p>
      <w:pPr>
        <w:numPr>
          <w:ilvl w:val="1"/>
          <w:numId w:val="900"/>
        </w:numPr>
        <w:spacing w:before="0" w:after="0"/>
      </w:pPr>
      <w:r>
        <w:t>Investing in Manager Training and Development</w:t>
      </w:r>
    </w:p>
    <w:p>
      <w:pPr>
        <w:numPr>
          <w:ilvl w:val="2"/>
          <w:numId w:val="900"/>
        </w:numPr>
        <w:spacing w:before="0" w:after="0"/>
      </w:pPr>
      <w:r>
        <w:t>Leadership Skills Training</w:t>
      </w:r>
    </w:p>
    <w:p>
      <w:pPr>
        <w:numPr>
          <w:ilvl w:val="2"/>
          <w:numId w:val="900"/>
        </w:numPr>
        <w:spacing w:before="0" w:after="0"/>
      </w:pPr>
      <w:r>
        <w:t>Coaching and Feedback Skills</w:t>
      </w:r>
    </w:p>
    <w:p>
      <w:pPr>
        <w:numPr>
          <w:ilvl w:val="2"/>
          <w:numId w:val="900"/>
        </w:numPr>
        <w:spacing w:before="0" w:after="0"/>
      </w:pPr>
      <w:r>
        <w:t>Emotional Intelligence Development</w:t>
      </w:r>
    </w:p>
    <w:p>
      <w:pPr>
        <w:numPr>
          <w:ilvl w:val="1"/>
          <w:numId w:val="900"/>
        </w:numPr>
        <w:spacing w:before="0" w:after="0"/>
      </w:pPr>
      <w:r>
        <w:t>Promoting Wellness and Work-Life Integration Programs</w:t>
      </w:r>
    </w:p>
    <w:p>
      <w:pPr>
        <w:numPr>
          <w:ilvl w:val="2"/>
          <w:numId w:val="900"/>
        </w:numPr>
        <w:spacing w:before="0" w:after="0"/>
      </w:pPr>
      <w:r>
        <w:t>Mental Health Resources</w:t>
      </w:r>
    </w:p>
    <w:p>
      <w:pPr>
        <w:numPr>
          <w:ilvl w:val="2"/>
          <w:numId w:val="900"/>
        </w:numPr>
        <w:spacing w:before="0" w:after="0"/>
      </w:pPr>
      <w:r>
        <w:t>Flexible Scheduling</w:t>
      </w:r>
    </w:p>
    <w:p>
      <w:pPr>
        <w:numPr>
          <w:ilvl w:val="2"/>
          <w:numId w:val="900"/>
        </w:numPr>
        <w:spacing w:before="0" w:after="0"/>
      </w:pPr>
      <w:r>
        <w:t>Employee Assistance Programs</w:t>
      </w:r>
    </w:p>
    <w:p>
      <w:pPr>
        <w:numPr>
          <w:ilvl w:val="2"/>
          <w:numId w:val="900"/>
        </w:numPr>
        <w:spacing w:before="0" w:after="0"/>
      </w:pPr>
      <w:r>
        <w:t>Wellness Challenges</w:t>
      </w:r>
    </w:p>
    <w:p>
      <w:pPr>
        <w:pStyle w:val="Heading1"/>
      </w:pPr>
      <w:r>
        <w:t>The Role of Leadership and Management</w:t>
      </w:r>
    </w:p>
    <w:p>
      <w:pPr>
        <w:numPr>
          <w:ilvl w:val="0"/>
          <w:numId w:val="900"/>
        </w:numPr>
        <w:spacing w:before="0" w:after="0"/>
      </w:pPr>
      <w:r>
        <w:t>Senior Leadership's Role</w:t>
      </w:r>
    </w:p>
    <w:p>
      <w:pPr>
        <w:numPr>
          <w:ilvl w:val="1"/>
          <w:numId w:val="900"/>
        </w:numPr>
        <w:spacing w:before="0" w:after="0"/>
      </w:pPr>
      <w:r>
        <w:t>Championing Engagement as a Strategic Priority</w:t>
      </w:r>
    </w:p>
    <w:p>
      <w:pPr>
        <w:numPr>
          <w:ilvl w:val="1"/>
          <w:numId w:val="900"/>
        </w:numPr>
        <w:spacing w:before="0" w:after="0"/>
      </w:pPr>
      <w:r>
        <w:t>Modeling Desired Behaviors</w:t>
      </w:r>
    </w:p>
    <w:p>
      <w:pPr>
        <w:numPr>
          <w:ilvl w:val="1"/>
          <w:numId w:val="900"/>
        </w:numPr>
        <w:spacing w:before="0" w:after="0"/>
      </w:pPr>
      <w:r>
        <w:t>Communicating a Clear Vision and Mission</w:t>
      </w:r>
    </w:p>
    <w:p>
      <w:pPr>
        <w:numPr>
          <w:ilvl w:val="1"/>
          <w:numId w:val="900"/>
        </w:numPr>
        <w:spacing w:before="0" w:after="0"/>
      </w:pPr>
      <w:r>
        <w:t>Setting the Tone for Organizational Culture</w:t>
      </w:r>
    </w:p>
    <w:p>
      <w:pPr>
        <w:numPr>
          <w:ilvl w:val="1"/>
          <w:numId w:val="900"/>
        </w:numPr>
        <w:spacing w:before="0" w:after="0"/>
      </w:pPr>
      <w:r>
        <w:t>Allocating Resources for Engagement Initiatives</w:t>
      </w:r>
    </w:p>
    <w:p>
      <w:pPr>
        <w:numPr>
          <w:ilvl w:val="1"/>
          <w:numId w:val="900"/>
        </w:numPr>
        <w:spacing w:before="0" w:after="0"/>
      </w:pPr>
      <w:r>
        <w:t>Accountability for Engagement Outcomes</w:t>
      </w:r>
    </w:p>
    <w:p>
      <w:pPr>
        <w:numPr>
          <w:ilvl w:val="0"/>
          <w:numId w:val="900"/>
        </w:numPr>
        <w:spacing w:before="0" w:after="0"/>
      </w:pPr>
      <w:r>
        <w:t>The Front-Line Manager's Impact</w:t>
      </w:r>
    </w:p>
    <w:p>
      <w:pPr>
        <w:numPr>
          <w:ilvl w:val="1"/>
          <w:numId w:val="900"/>
        </w:numPr>
        <w:spacing w:before="0" w:after="0"/>
      </w:pPr>
      <w:r>
        <w:t>Daily Interactions and Relationship Building</w:t>
      </w:r>
    </w:p>
    <w:p>
      <w:pPr>
        <w:numPr>
          <w:ilvl w:val="1"/>
          <w:numId w:val="900"/>
        </w:numPr>
        <w:spacing w:before="0" w:after="0"/>
      </w:pPr>
      <w:r>
        <w:t>Providing Regular Feedback and Coaching</w:t>
      </w:r>
    </w:p>
    <w:p>
      <w:pPr>
        <w:numPr>
          <w:ilvl w:val="1"/>
          <w:numId w:val="900"/>
        </w:numPr>
        <w:spacing w:before="0" w:after="0"/>
      </w:pPr>
      <w:r>
        <w:t>Empowering Team Members</w:t>
      </w:r>
    </w:p>
    <w:p>
      <w:pPr>
        <w:numPr>
          <w:ilvl w:val="1"/>
          <w:numId w:val="900"/>
        </w:numPr>
        <w:spacing w:before="0" w:after="0"/>
      </w:pPr>
      <w:r>
        <w:t>Recognizing Individual Contributions</w:t>
      </w:r>
    </w:p>
    <w:p>
      <w:pPr>
        <w:numPr>
          <w:ilvl w:val="1"/>
          <w:numId w:val="900"/>
        </w:numPr>
        <w:spacing w:before="0" w:after="0"/>
      </w:pPr>
      <w:r>
        <w:t>Protecting the Team from Burnout</w:t>
      </w:r>
    </w:p>
    <w:p>
      <w:pPr>
        <w:numPr>
          <w:ilvl w:val="1"/>
          <w:numId w:val="900"/>
        </w:numPr>
        <w:spacing w:before="0" w:after="0"/>
      </w:pPr>
      <w:r>
        <w:t>Facilitating Team Collaboration</w:t>
      </w:r>
    </w:p>
    <w:p>
      <w:pPr>
        <w:numPr>
          <w:ilvl w:val="1"/>
          <w:numId w:val="900"/>
        </w:numPr>
        <w:spacing w:before="0" w:after="0"/>
      </w:pPr>
      <w:r>
        <w:t>Addressing Employee Concerns Promptly</w:t>
      </w:r>
    </w:p>
    <w:p>
      <w:pPr>
        <w:numPr>
          <w:ilvl w:val="1"/>
          <w:numId w:val="900"/>
        </w:numPr>
        <w:spacing w:before="0" w:after="0"/>
      </w:pPr>
      <w:r>
        <w:t>Supporting Career Development</w:t>
      </w:r>
    </w:p>
    <w:p>
      <w:pPr>
        <w:numPr>
          <w:ilvl w:val="1"/>
          <w:numId w:val="900"/>
        </w:numPr>
        <w:spacing w:before="0" w:after="0"/>
      </w:pPr>
      <w:r>
        <w:t>Creating Psychological Safety</w:t>
      </w:r>
    </w:p>
    <w:p>
      <w:pPr>
        <w:numPr>
          <w:ilvl w:val="0"/>
          <w:numId w:val="900"/>
        </w:numPr>
        <w:spacing w:before="0" w:after="0"/>
      </w:pPr>
      <w:r>
        <w:t>Middle Management's Role</w:t>
      </w:r>
    </w:p>
    <w:p>
      <w:pPr>
        <w:numPr>
          <w:ilvl w:val="1"/>
          <w:numId w:val="900"/>
        </w:numPr>
        <w:spacing w:before="0" w:after="0"/>
      </w:pPr>
      <w:r>
        <w:t>Translating Strategy to Action</w:t>
      </w:r>
    </w:p>
    <w:p>
      <w:pPr>
        <w:numPr>
          <w:ilvl w:val="1"/>
          <w:numId w:val="900"/>
        </w:numPr>
        <w:spacing w:before="0" w:after="0"/>
      </w:pPr>
      <w:r>
        <w:t>Cascading Communication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0"/>
          <w:numId w:val="900"/>
        </w:numPr>
        <w:spacing w:before="0" w:after="0"/>
      </w:pPr>
      <w:r>
        <w:t>Leadership Development for Engagement</w:t>
      </w:r>
    </w:p>
    <w:p>
      <w:pPr>
        <w:numPr>
          <w:ilvl w:val="1"/>
          <w:numId w:val="900"/>
        </w:numPr>
        <w:spacing w:before="0" w:after="0"/>
      </w:pPr>
      <w:r>
        <w:t>Engagement-Focused Leadership Competencies</w:t>
      </w:r>
    </w:p>
    <w:p>
      <w:pPr>
        <w:numPr>
          <w:ilvl w:val="1"/>
          <w:numId w:val="900"/>
        </w:numPr>
        <w:spacing w:before="0" w:after="0"/>
      </w:pPr>
      <w:r>
        <w:t>Leadership Assessment and Development</w:t>
      </w:r>
    </w:p>
    <w:p>
      <w:pPr>
        <w:numPr>
          <w:ilvl w:val="1"/>
          <w:numId w:val="900"/>
        </w:numPr>
        <w:spacing w:before="0" w:after="0"/>
      </w:pPr>
      <w:r>
        <w:t>Succession Planning with Engagement Focus</w:t>
      </w:r>
    </w:p>
    <w:p>
      <w:pPr>
        <w:pStyle w:val="Heading1"/>
      </w:pPr>
      <w:r>
        <w:t>Challenges and Special Considerations</w:t>
      </w:r>
    </w:p>
    <w:p>
      <w:pPr>
        <w:numPr>
          <w:ilvl w:val="0"/>
          <w:numId w:val="900"/>
        </w:numPr>
        <w:spacing w:before="0" w:after="0"/>
      </w:pPr>
      <w:r>
        <w:t>Managing Engagement in Diverse Work Environments</w:t>
      </w:r>
    </w:p>
    <w:p>
      <w:pPr>
        <w:numPr>
          <w:ilvl w:val="1"/>
          <w:numId w:val="900"/>
        </w:numPr>
        <w:spacing w:before="0" w:after="0"/>
      </w:pPr>
      <w:r>
        <w:t>Remote and Hybrid Workforces</w:t>
      </w:r>
    </w:p>
    <w:p>
      <w:pPr>
        <w:numPr>
          <w:ilvl w:val="2"/>
          <w:numId w:val="900"/>
        </w:numPr>
        <w:spacing w:before="0" w:after="0"/>
      </w:pPr>
      <w:r>
        <w:t>Maintaining Connection and Belonging</w:t>
      </w:r>
    </w:p>
    <w:p>
      <w:pPr>
        <w:numPr>
          <w:ilvl w:val="2"/>
          <w:numId w:val="900"/>
        </w:numPr>
        <w:spacing w:before="0" w:after="0"/>
      </w:pPr>
      <w:r>
        <w:t>Virtual Engagement Activities</w:t>
      </w:r>
    </w:p>
    <w:p>
      <w:pPr>
        <w:numPr>
          <w:ilvl w:val="2"/>
          <w:numId w:val="900"/>
        </w:numPr>
        <w:spacing w:before="0" w:after="0"/>
      </w:pPr>
      <w:r>
        <w:t>Technology Tools for Remote Engagement</w:t>
      </w:r>
    </w:p>
    <w:p>
      <w:pPr>
        <w:numPr>
          <w:ilvl w:val="2"/>
          <w:numId w:val="900"/>
        </w:numPr>
        <w:spacing w:before="0" w:after="0"/>
      </w:pPr>
      <w:r>
        <w:t>Managing Isolation and Loneliness</w:t>
      </w:r>
    </w:p>
    <w:p>
      <w:pPr>
        <w:numPr>
          <w:ilvl w:val="1"/>
          <w:numId w:val="900"/>
        </w:numPr>
        <w:spacing w:before="0" w:after="0"/>
      </w:pPr>
      <w:r>
        <w:t>Global and Cross-Cultural Teams</w:t>
      </w:r>
    </w:p>
    <w:p>
      <w:pPr>
        <w:numPr>
          <w:ilvl w:val="2"/>
          <w:numId w:val="900"/>
        </w:numPr>
        <w:spacing w:before="0" w:after="0"/>
      </w:pPr>
      <w:r>
        <w:t>Cultural Sensitivity in Engagement Practices</w:t>
      </w:r>
    </w:p>
    <w:p>
      <w:pPr>
        <w:numPr>
          <w:ilvl w:val="2"/>
          <w:numId w:val="900"/>
        </w:numPr>
        <w:spacing w:before="0" w:after="0"/>
      </w:pPr>
      <w:r>
        <w:t>Time Zone and Communication Challenges</w:t>
      </w:r>
    </w:p>
    <w:p>
      <w:pPr>
        <w:numPr>
          <w:ilvl w:val="2"/>
          <w:numId w:val="900"/>
        </w:numPr>
        <w:spacing w:before="0" w:after="0"/>
      </w:pPr>
      <w:r>
        <w:t>Localization of Engagement Strategies</w:t>
      </w:r>
    </w:p>
    <w:p>
      <w:pPr>
        <w:numPr>
          <w:ilvl w:val="1"/>
          <w:numId w:val="900"/>
        </w:numPr>
        <w:spacing w:before="0" w:after="0"/>
      </w:pPr>
      <w:r>
        <w:t>Generational Differences in the Workplace</w:t>
      </w:r>
    </w:p>
    <w:p>
      <w:pPr>
        <w:numPr>
          <w:ilvl w:val="2"/>
          <w:numId w:val="900"/>
        </w:numPr>
        <w:spacing w:before="0" w:after="0"/>
      </w:pPr>
      <w:r>
        <w:t>Tailoring Engagement Approaches by Generation</w:t>
      </w:r>
    </w:p>
    <w:p>
      <w:pPr>
        <w:numPr>
          <w:ilvl w:val="2"/>
          <w:numId w:val="900"/>
        </w:numPr>
        <w:spacing w:before="0" w:after="0"/>
      </w:pPr>
      <w:r>
        <w:t>Addressing Varied Expectations and Values</w:t>
      </w:r>
    </w:p>
    <w:p>
      <w:pPr>
        <w:numPr>
          <w:ilvl w:val="2"/>
          <w:numId w:val="900"/>
        </w:numPr>
        <w:spacing w:before="0" w:after="0"/>
      </w:pPr>
      <w:r>
        <w:t>Intergenerational Collaboration</w:t>
      </w:r>
    </w:p>
    <w:p>
      <w:pPr>
        <w:numPr>
          <w:ilvl w:val="1"/>
          <w:numId w:val="900"/>
        </w:numPr>
        <w:spacing w:before="0" w:after="0"/>
      </w:pPr>
      <w:r>
        <w:t>Industry-Specific Considerations</w:t>
      </w:r>
    </w:p>
    <w:p>
      <w:pPr>
        <w:numPr>
          <w:ilvl w:val="2"/>
          <w:numId w:val="900"/>
        </w:numPr>
        <w:spacing w:before="0" w:after="0"/>
      </w:pPr>
      <w:r>
        <w:t>Manufacturing and Operations</w:t>
      </w:r>
    </w:p>
    <w:p>
      <w:pPr>
        <w:numPr>
          <w:ilvl w:val="2"/>
          <w:numId w:val="900"/>
        </w:numPr>
        <w:spacing w:before="0" w:after="0"/>
      </w:pPr>
      <w:r>
        <w:t>Healthcare and Essential Services</w:t>
      </w:r>
    </w:p>
    <w:p>
      <w:pPr>
        <w:numPr>
          <w:ilvl w:val="2"/>
          <w:numId w:val="900"/>
        </w:numPr>
        <w:spacing w:before="0" w:after="0"/>
      </w:pPr>
      <w:r>
        <w:t>Technology and Knowledge Work</w:t>
      </w:r>
    </w:p>
    <w:p>
      <w:pPr>
        <w:numPr>
          <w:ilvl w:val="2"/>
          <w:numId w:val="900"/>
        </w:numPr>
        <w:spacing w:before="0" w:after="0"/>
      </w:pPr>
      <w:r>
        <w:t>Retail and Customer Service</w:t>
      </w:r>
    </w:p>
    <w:p>
      <w:pPr>
        <w:numPr>
          <w:ilvl w:val="0"/>
          <w:numId w:val="900"/>
        </w:numPr>
        <w:spacing w:before="0" w:after="0"/>
      </w:pPr>
      <w:r>
        <w:t>Addressing Disengagement and Burnout</w:t>
      </w:r>
    </w:p>
    <w:p>
      <w:pPr>
        <w:numPr>
          <w:ilvl w:val="1"/>
          <w:numId w:val="900"/>
        </w:numPr>
        <w:spacing w:before="0" w:after="0"/>
      </w:pPr>
      <w:r>
        <w:t>Identifying Signs of Disengagement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Performance Changes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Intervention Strategies for Disengaged Employees</w:t>
      </w:r>
    </w:p>
    <w:p>
      <w:pPr>
        <w:numPr>
          <w:ilvl w:val="2"/>
          <w:numId w:val="900"/>
        </w:numPr>
        <w:spacing w:before="0" w:after="0"/>
      </w:pPr>
      <w:r>
        <w:t>Individualized Support Plans</w:t>
      </w:r>
    </w:p>
    <w:p>
      <w:pPr>
        <w:numPr>
          <w:ilvl w:val="2"/>
          <w:numId w:val="900"/>
        </w:numPr>
        <w:spacing w:before="0" w:after="0"/>
      </w:pPr>
      <w:r>
        <w:t>Re-engagement Conversations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1"/>
          <w:numId w:val="900"/>
        </w:numPr>
        <w:spacing w:before="0" w:after="0"/>
      </w:pPr>
      <w:r>
        <w:t>Proactive Burnout Prevention</w:t>
      </w:r>
    </w:p>
    <w:p>
      <w:pPr>
        <w:numPr>
          <w:ilvl w:val="2"/>
          <w:numId w:val="900"/>
        </w:numPr>
        <w:spacing w:before="0" w:after="0"/>
      </w:pPr>
      <w:r>
        <w:t>Workload Management</w:t>
      </w:r>
    </w:p>
    <w:p>
      <w:pPr>
        <w:numPr>
          <w:ilvl w:val="2"/>
          <w:numId w:val="900"/>
        </w:numPr>
        <w:spacing w:before="0" w:after="0"/>
      </w:pPr>
      <w:r>
        <w:t>Promoting Rest and Recovery</w:t>
      </w:r>
    </w:p>
    <w:p>
      <w:pPr>
        <w:numPr>
          <w:ilvl w:val="2"/>
          <w:numId w:val="900"/>
        </w:numPr>
        <w:spacing w:before="0" w:after="0"/>
      </w:pPr>
      <w:r>
        <w:t>Encouraging Use of Leave</w:t>
      </w:r>
    </w:p>
    <w:p>
      <w:pPr>
        <w:numPr>
          <w:ilvl w:val="2"/>
          <w:numId w:val="900"/>
        </w:numPr>
        <w:spacing w:before="0" w:after="0"/>
      </w:pPr>
      <w:r>
        <w:t>Stress Management Programs</w:t>
      </w:r>
    </w:p>
    <w:p>
      <w:pPr>
        <w:numPr>
          <w:ilvl w:val="0"/>
          <w:numId w:val="900"/>
        </w:numPr>
        <w:spacing w:before="0" w:after="0"/>
      </w:pPr>
      <w:r>
        <w:t>Sustaining Engagement Over Time</w:t>
      </w:r>
    </w:p>
    <w:p>
      <w:pPr>
        <w:numPr>
          <w:ilvl w:val="1"/>
          <w:numId w:val="900"/>
        </w:numPr>
        <w:spacing w:before="0" w:after="0"/>
      </w:pPr>
      <w:r>
        <w:t>Avoiding Survey Fatigue</w:t>
      </w:r>
    </w:p>
    <w:p>
      <w:pPr>
        <w:numPr>
          <w:ilvl w:val="1"/>
          <w:numId w:val="900"/>
        </w:numPr>
        <w:spacing w:before="0" w:after="0"/>
      </w:pPr>
      <w:r>
        <w:t>Embedding Engagement into Organizational DNA</w:t>
      </w:r>
    </w:p>
    <w:p>
      <w:pPr>
        <w:numPr>
          <w:ilvl w:val="2"/>
          <w:numId w:val="900"/>
        </w:numPr>
        <w:spacing w:before="0" w:after="0"/>
      </w:pPr>
      <w:r>
        <w:t>Integrating Engagement into Daily Operations</w:t>
      </w:r>
    </w:p>
    <w:p>
      <w:pPr>
        <w:numPr>
          <w:ilvl w:val="2"/>
          <w:numId w:val="900"/>
        </w:numPr>
        <w:spacing w:before="0" w:after="0"/>
      </w:pPr>
      <w:r>
        <w:t>Leadership Accountability for Engagement</w:t>
      </w:r>
    </w:p>
    <w:p>
      <w:pPr>
        <w:numPr>
          <w:ilvl w:val="2"/>
          <w:numId w:val="900"/>
        </w:numPr>
        <w:spacing w:before="0" w:after="0"/>
      </w:pPr>
      <w:r>
        <w:t>Performance Management Integration</w:t>
      </w:r>
    </w:p>
    <w:p>
      <w:pPr>
        <w:numPr>
          <w:ilvl w:val="1"/>
          <w:numId w:val="900"/>
        </w:numPr>
        <w:spacing w:before="0" w:after="0"/>
      </w:pPr>
      <w:r>
        <w:t>Adapting Strategies to Organizational Changes</w:t>
      </w:r>
    </w:p>
    <w:p>
      <w:pPr>
        <w:numPr>
          <w:ilvl w:val="2"/>
          <w:numId w:val="900"/>
        </w:numPr>
        <w:spacing w:before="0" w:after="0"/>
      </w:pPr>
      <w:r>
        <w:t>Responding to Mergers and Acquisitions</w:t>
      </w:r>
    </w:p>
    <w:p>
      <w:pPr>
        <w:numPr>
          <w:ilvl w:val="2"/>
          <w:numId w:val="900"/>
        </w:numPr>
        <w:spacing w:before="0" w:after="0"/>
      </w:pPr>
      <w:r>
        <w:t>Navigating Economic Downturns</w:t>
      </w:r>
    </w:p>
    <w:p>
      <w:pPr>
        <w:numPr>
          <w:ilvl w:val="2"/>
          <w:numId w:val="900"/>
        </w:numPr>
        <w:spacing w:before="0" w:after="0"/>
      </w:pPr>
      <w:r>
        <w:t>Supporting Employees Through Change Management</w:t>
      </w:r>
    </w:p>
    <w:p>
      <w:pPr>
        <w:numPr>
          <w:ilvl w:val="2"/>
          <w:numId w:val="900"/>
        </w:numPr>
        <w:spacing w:before="0" w:after="0"/>
      </w:pPr>
      <w:r>
        <w:t>Crisis Communication and Engagement</w:t>
      </w:r>
    </w:p>
    <w:p>
      <w:pPr>
        <w:numPr>
          <w:ilvl w:val="0"/>
          <w:numId w:val="900"/>
        </w:numPr>
        <w:spacing w:before="0" w:after="0"/>
      </w:pPr>
      <w:r>
        <w:t>Common Implementation Pitfalls</w:t>
      </w:r>
    </w:p>
    <w:p>
      <w:pPr>
        <w:numPr>
          <w:ilvl w:val="1"/>
          <w:numId w:val="900"/>
        </w:numPr>
        <w:spacing w:before="0" w:after="0"/>
      </w:pPr>
      <w:r>
        <w:t>Lack of Follow-Through on Survey Results</w:t>
      </w:r>
    </w:p>
    <w:p>
      <w:pPr>
        <w:numPr>
          <w:ilvl w:val="1"/>
          <w:numId w:val="900"/>
        </w:numPr>
        <w:spacing w:before="0" w:after="0"/>
      </w:pPr>
      <w:r>
        <w:t>Over-Surveying Without Action</w:t>
      </w:r>
    </w:p>
    <w:p>
      <w:pPr>
        <w:numPr>
          <w:ilvl w:val="1"/>
          <w:numId w:val="900"/>
        </w:numPr>
        <w:spacing w:before="0" w:after="0"/>
      </w:pPr>
      <w:r>
        <w:t>One-Size-Fits-All Approaches</w:t>
      </w:r>
    </w:p>
    <w:p>
      <w:pPr>
        <w:numPr>
          <w:ilvl w:val="1"/>
          <w:numId w:val="900"/>
        </w:numPr>
        <w:spacing w:before="0" w:after="0"/>
      </w:pPr>
      <w:r>
        <w:t>Insufficient Manager Training</w:t>
      </w:r>
    </w:p>
    <w:p>
      <w:pPr>
        <w:numPr>
          <w:ilvl w:val="1"/>
          <w:numId w:val="900"/>
        </w:numPr>
        <w:spacing w:before="0" w:after="0"/>
      </w:pPr>
      <w:r>
        <w:t>Short-Term Focus vs Long-Term Commitment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